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398"/>
        <w:gridCol w:w="1644"/>
        <w:gridCol w:w="4012"/>
        <w:gridCol w:w="1276"/>
        <w:gridCol w:w="1490"/>
        <w:gridCol w:w="1448"/>
        <w:gridCol w:w="1469"/>
        <w:gridCol w:w="1483"/>
      </w:tblGrid>
      <w:tr w:rsidR="00317E2A" w14:paraId="77D1F530" w14:textId="77777777" w:rsidTr="00F36973">
        <w:tc>
          <w:tcPr>
            <w:tcW w:w="1398" w:type="dxa"/>
          </w:tcPr>
          <w:p w14:paraId="13E76783" w14:textId="77777777" w:rsidR="00317E2A" w:rsidRDefault="00317E2A">
            <w:r>
              <w:t>Micronutriente</w:t>
            </w:r>
          </w:p>
        </w:tc>
        <w:tc>
          <w:tcPr>
            <w:tcW w:w="1644" w:type="dxa"/>
          </w:tcPr>
          <w:p w14:paraId="2F7ACC5B" w14:textId="77777777" w:rsidR="00317E2A" w:rsidRDefault="00317E2A">
            <w:r>
              <w:t>Pacientes más comunes en consulta y hospitalaria</w:t>
            </w:r>
          </w:p>
        </w:tc>
        <w:tc>
          <w:tcPr>
            <w:tcW w:w="4012" w:type="dxa"/>
          </w:tcPr>
          <w:p w14:paraId="14FE88A4" w14:textId="77777777" w:rsidR="00317E2A" w:rsidRDefault="00317E2A">
            <w:r>
              <w:t>Enlace a ingestas referencia más actuales</w:t>
            </w:r>
          </w:p>
        </w:tc>
        <w:tc>
          <w:tcPr>
            <w:tcW w:w="1276" w:type="dxa"/>
          </w:tcPr>
          <w:p w14:paraId="03CCBD4B" w14:textId="77777777" w:rsidR="00317E2A" w:rsidRDefault="00317E2A">
            <w:r>
              <w:t>Cómo valoras una ingesta adecuada</w:t>
            </w:r>
          </w:p>
        </w:tc>
        <w:tc>
          <w:tcPr>
            <w:tcW w:w="1490" w:type="dxa"/>
          </w:tcPr>
          <w:p w14:paraId="6086A52F" w14:textId="77777777" w:rsidR="00317E2A" w:rsidRDefault="00317E2A">
            <w:r>
              <w:t>Método diagnóstico bioquímico de referencia</w:t>
            </w:r>
          </w:p>
        </w:tc>
        <w:tc>
          <w:tcPr>
            <w:tcW w:w="1448" w:type="dxa"/>
          </w:tcPr>
          <w:p w14:paraId="287BEC18" w14:textId="77777777" w:rsidR="00317E2A" w:rsidRDefault="00317E2A">
            <w:r>
              <w:t>Intervención nutricional</w:t>
            </w:r>
          </w:p>
        </w:tc>
        <w:tc>
          <w:tcPr>
            <w:tcW w:w="1469" w:type="dxa"/>
          </w:tcPr>
          <w:p w14:paraId="351D1D66" w14:textId="77777777" w:rsidR="00317E2A" w:rsidRDefault="00317E2A">
            <w:r>
              <w:t>Suplementación Marcas suplemento de referencia</w:t>
            </w:r>
          </w:p>
        </w:tc>
        <w:tc>
          <w:tcPr>
            <w:tcW w:w="1483" w:type="dxa"/>
          </w:tcPr>
          <w:p w14:paraId="38FDB33D" w14:textId="77777777" w:rsidR="00317E2A" w:rsidRDefault="00317E2A">
            <w:r>
              <w:t>Consideraciones especiales</w:t>
            </w:r>
          </w:p>
        </w:tc>
      </w:tr>
      <w:tr w:rsidR="001C71BA" w14:paraId="37893915" w14:textId="77777777" w:rsidTr="00F36973">
        <w:tc>
          <w:tcPr>
            <w:tcW w:w="1398" w:type="dxa"/>
          </w:tcPr>
          <w:p w14:paraId="08D8D12F" w14:textId="312BFBCC" w:rsidR="001C71BA" w:rsidRDefault="00293A67">
            <w:r>
              <w:t>Vitamina C</w:t>
            </w:r>
          </w:p>
        </w:tc>
        <w:tc>
          <w:tcPr>
            <w:tcW w:w="1644" w:type="dxa"/>
          </w:tcPr>
          <w:p w14:paraId="47036A8A" w14:textId="77777777" w:rsidR="001C71BA" w:rsidRDefault="00A82125">
            <w:r>
              <w:t>- Fumadores</w:t>
            </w:r>
          </w:p>
          <w:p w14:paraId="00DDA58F" w14:textId="3323DAEF" w:rsidR="00A82125" w:rsidRDefault="00A82125">
            <w:r>
              <w:t>- Pacientes con muy baja ingesta de frutas y verduras</w:t>
            </w:r>
          </w:p>
        </w:tc>
        <w:tc>
          <w:tcPr>
            <w:tcW w:w="4012" w:type="dxa"/>
          </w:tcPr>
          <w:p w14:paraId="2877FD08" w14:textId="77777777" w:rsidR="001C71BA" w:rsidRDefault="009276B7">
            <w:pPr>
              <w:rPr>
                <w:rFonts w:ascii="Avenir Book" w:hAnsi="Avenir Book"/>
                <w:noProof/>
                <w:sz w:val="20"/>
              </w:rPr>
            </w:pPr>
            <w:r w:rsidRPr="006F0EBD">
              <w:rPr>
                <w:rFonts w:ascii="Avenir Book" w:hAnsi="Avenir Book"/>
                <w:noProof/>
                <w:sz w:val="20"/>
              </w:rPr>
              <w:t>Cuervo M, Abete I, Baladia E, Corbalán M, Manera M, Basulto J, et al. Ingestas Dietéticas de Referencia (IDR) para la poblac</w:t>
            </w:r>
            <w:r>
              <w:rPr>
                <w:rFonts w:ascii="Avenir Book" w:hAnsi="Avenir Book"/>
                <w:noProof/>
                <w:sz w:val="20"/>
              </w:rPr>
              <w:t>ión española FESNAD-2010. 2010.</w:t>
            </w:r>
          </w:p>
          <w:p w14:paraId="52251C3D" w14:textId="22B18194" w:rsidR="009276B7" w:rsidRDefault="009276B7">
            <w:r w:rsidRPr="009276B7">
              <w:t>http://onlinelibrary.wiley.com/doi/10.2903/j.efsa.2013.3418/epdf</w:t>
            </w:r>
          </w:p>
        </w:tc>
        <w:tc>
          <w:tcPr>
            <w:tcW w:w="1276" w:type="dxa"/>
          </w:tcPr>
          <w:p w14:paraId="104BC1CF" w14:textId="77777777" w:rsidR="009276B7" w:rsidRDefault="009276B7" w:rsidP="009276B7">
            <w:r>
              <w:t xml:space="preserve">- Historia dietética + valoración nutricional  </w:t>
            </w:r>
          </w:p>
          <w:p w14:paraId="74B94053" w14:textId="4556E1E3" w:rsidR="001C71BA" w:rsidRDefault="009276B7" w:rsidP="009276B7">
            <w:r>
              <w:t>- QFC</w:t>
            </w:r>
          </w:p>
        </w:tc>
        <w:tc>
          <w:tcPr>
            <w:tcW w:w="1490" w:type="dxa"/>
          </w:tcPr>
          <w:p w14:paraId="084FF062" w14:textId="7DC58E94" w:rsidR="00994170" w:rsidRPr="00994170" w:rsidRDefault="00994170" w:rsidP="00994170">
            <w:pPr>
              <w:ind w:left="34"/>
              <w:rPr>
                <w:rFonts w:ascii="Avenir Book" w:hAnsi="Avenir Book"/>
                <w:sz w:val="20"/>
                <w:szCs w:val="20"/>
              </w:rPr>
            </w:pPr>
            <w:r w:rsidRPr="00994170">
              <w:rPr>
                <w:rFonts w:ascii="Avenir Book" w:hAnsi="Avenir Book"/>
                <w:sz w:val="20"/>
                <w:szCs w:val="20"/>
              </w:rPr>
              <w:t xml:space="preserve">Concentración ascorbato en plasma  </w:t>
            </w:r>
          </w:p>
          <w:p w14:paraId="01E5B89A" w14:textId="43FAD1D0" w:rsidR="001C71BA" w:rsidRDefault="001C71BA"/>
        </w:tc>
        <w:tc>
          <w:tcPr>
            <w:tcW w:w="1448" w:type="dxa"/>
          </w:tcPr>
          <w:p w14:paraId="64E79694" w14:textId="155D6BEB" w:rsidR="001C71BA" w:rsidRDefault="009276B7" w:rsidP="009276B7">
            <w:r>
              <w:t xml:space="preserve">- Asegurar una ingesta adecuada de </w:t>
            </w:r>
            <w:r>
              <w:t>frutas y verduras</w:t>
            </w:r>
            <w:bookmarkStart w:id="0" w:name="_GoBack"/>
            <w:bookmarkEnd w:id="0"/>
          </w:p>
        </w:tc>
        <w:tc>
          <w:tcPr>
            <w:tcW w:w="1469" w:type="dxa"/>
          </w:tcPr>
          <w:p w14:paraId="2388932C" w14:textId="77777777" w:rsidR="001C71BA" w:rsidRDefault="001C71BA"/>
        </w:tc>
        <w:tc>
          <w:tcPr>
            <w:tcW w:w="1483" w:type="dxa"/>
          </w:tcPr>
          <w:p w14:paraId="4982BC93" w14:textId="77777777" w:rsidR="001C71BA" w:rsidRDefault="001C71BA"/>
        </w:tc>
      </w:tr>
      <w:tr w:rsidR="003C2ADC" w14:paraId="291221FB" w14:textId="77777777" w:rsidTr="00F36973">
        <w:tc>
          <w:tcPr>
            <w:tcW w:w="1398" w:type="dxa"/>
          </w:tcPr>
          <w:p w14:paraId="6D64EA5D" w14:textId="1FE0DA0A" w:rsidR="003C2ADC" w:rsidRDefault="0066568A">
            <w:r>
              <w:t>Vitamina B6 (piridoxina)</w:t>
            </w:r>
          </w:p>
        </w:tc>
        <w:tc>
          <w:tcPr>
            <w:tcW w:w="1644" w:type="dxa"/>
          </w:tcPr>
          <w:p w14:paraId="13F95F0E" w14:textId="77777777" w:rsidR="003C2ADC" w:rsidRDefault="0066568A">
            <w:r>
              <w:t>Muy poco frecuente</w:t>
            </w:r>
          </w:p>
          <w:p w14:paraId="60C05AF3" w14:textId="77777777" w:rsidR="0066568A" w:rsidRDefault="0066568A" w:rsidP="0066568A">
            <w:r>
              <w:t xml:space="preserve">- Alcohólicos crónicos </w:t>
            </w:r>
          </w:p>
          <w:p w14:paraId="26D81359" w14:textId="43EC9868" w:rsidR="0066568A" w:rsidRDefault="0066568A" w:rsidP="0066568A">
            <w:r>
              <w:t>- Hemodiálisis</w:t>
            </w:r>
          </w:p>
          <w:p w14:paraId="4E6E0554" w14:textId="77777777" w:rsidR="0066568A" w:rsidRDefault="0066568A" w:rsidP="0066568A">
            <w:r>
              <w:t>- Enfermedades intestinales que cursan con problemas malabsorción</w:t>
            </w:r>
          </w:p>
          <w:p w14:paraId="537FF489" w14:textId="3CFD4A2B" w:rsidR="0066568A" w:rsidRDefault="0066568A"/>
        </w:tc>
        <w:tc>
          <w:tcPr>
            <w:tcW w:w="4012" w:type="dxa"/>
          </w:tcPr>
          <w:p w14:paraId="6ED50442" w14:textId="144203B5" w:rsidR="003C2ADC" w:rsidRDefault="0066568A">
            <w:r w:rsidRPr="006F0EBD">
              <w:rPr>
                <w:rFonts w:ascii="Avenir Book" w:hAnsi="Avenir Book"/>
                <w:noProof/>
                <w:sz w:val="20"/>
              </w:rPr>
              <w:t>Cuervo M, Abete I, Baladia E, Corbalán M, Manera M, Basulto J, et al. Ingestas Dietéticas de Referencia (IDR) para la poblac</w:t>
            </w:r>
            <w:r>
              <w:rPr>
                <w:rFonts w:ascii="Avenir Book" w:hAnsi="Avenir Book"/>
                <w:noProof/>
                <w:sz w:val="20"/>
              </w:rPr>
              <w:t>ión española FESNAD-2010. 2010.</w:t>
            </w:r>
          </w:p>
        </w:tc>
        <w:tc>
          <w:tcPr>
            <w:tcW w:w="1276" w:type="dxa"/>
          </w:tcPr>
          <w:p w14:paraId="7D1145AB" w14:textId="0EC4DFF6" w:rsidR="003C2ADC" w:rsidRDefault="0066568A">
            <w:r>
              <w:t>- Historia dietética</w:t>
            </w:r>
            <w:r w:rsidR="009276B7">
              <w:t xml:space="preserve"> +</w:t>
            </w:r>
            <w:r>
              <w:t xml:space="preserve"> valoración nutricional  </w:t>
            </w:r>
          </w:p>
        </w:tc>
        <w:tc>
          <w:tcPr>
            <w:tcW w:w="1490" w:type="dxa"/>
          </w:tcPr>
          <w:p w14:paraId="1AAAAE54" w14:textId="656101A7" w:rsidR="003C2ADC" w:rsidRDefault="0066568A">
            <w:r>
              <w:rPr>
                <w:rFonts w:ascii="Avenir Book" w:hAnsi="Avenir Book"/>
                <w:sz w:val="20"/>
                <w:szCs w:val="20"/>
              </w:rPr>
              <w:t>- Niveles de</w:t>
            </w:r>
            <w:r w:rsidRPr="003067E0">
              <w:rPr>
                <w:rFonts w:ascii="Avenir Book" w:hAnsi="Avenir Book"/>
                <w:sz w:val="20"/>
                <w:szCs w:val="20"/>
              </w:rPr>
              <w:t xml:space="preserve"> </w:t>
            </w:r>
            <w:r>
              <w:rPr>
                <w:rFonts w:ascii="Avenir Book" w:hAnsi="Avenir Book"/>
                <w:sz w:val="20"/>
                <w:szCs w:val="20"/>
              </w:rPr>
              <w:t>fosfato-5 piridoxal</w:t>
            </w:r>
            <w:r w:rsidRPr="003067E0">
              <w:rPr>
                <w:rFonts w:ascii="Avenir Book" w:hAnsi="Avenir Book"/>
                <w:sz w:val="20"/>
                <w:szCs w:val="20"/>
              </w:rPr>
              <w:t xml:space="preserve"> </w:t>
            </w:r>
            <w:r>
              <w:rPr>
                <w:rFonts w:ascii="Avenir Book" w:hAnsi="Avenir Book"/>
                <w:sz w:val="20"/>
                <w:szCs w:val="20"/>
              </w:rPr>
              <w:t xml:space="preserve">(PLP) </w:t>
            </w:r>
            <w:r w:rsidRPr="003067E0">
              <w:rPr>
                <w:rFonts w:ascii="Avenir Book" w:hAnsi="Avenir Book"/>
                <w:sz w:val="20"/>
                <w:szCs w:val="20"/>
              </w:rPr>
              <w:t>en plasma</w:t>
            </w:r>
          </w:p>
        </w:tc>
        <w:tc>
          <w:tcPr>
            <w:tcW w:w="1448" w:type="dxa"/>
          </w:tcPr>
          <w:p w14:paraId="20EE9413" w14:textId="3144B8BF" w:rsidR="003C2ADC" w:rsidRDefault="0066568A">
            <w:r>
              <w:t>- Asegurar una ingesta adecuada de las principales fuentes alimentarias de piridoxina</w:t>
            </w:r>
          </w:p>
        </w:tc>
        <w:tc>
          <w:tcPr>
            <w:tcW w:w="1469" w:type="dxa"/>
          </w:tcPr>
          <w:p w14:paraId="7BB36248" w14:textId="77777777" w:rsidR="003C2ADC" w:rsidRDefault="003C2ADC"/>
        </w:tc>
        <w:tc>
          <w:tcPr>
            <w:tcW w:w="1483" w:type="dxa"/>
          </w:tcPr>
          <w:p w14:paraId="2BCE6C01" w14:textId="77777777" w:rsidR="003C2ADC" w:rsidRDefault="003C2ADC"/>
        </w:tc>
      </w:tr>
      <w:tr w:rsidR="009920F8" w14:paraId="4CBB48D1" w14:textId="77777777" w:rsidTr="00F36973">
        <w:tc>
          <w:tcPr>
            <w:tcW w:w="1398" w:type="dxa"/>
          </w:tcPr>
          <w:p w14:paraId="19E32A29" w14:textId="37AE55D4" w:rsidR="009920F8" w:rsidRDefault="003C2ADC">
            <w:r>
              <w:t>Vitamina B3 (niacina)</w:t>
            </w:r>
          </w:p>
        </w:tc>
        <w:tc>
          <w:tcPr>
            <w:tcW w:w="1644" w:type="dxa"/>
          </w:tcPr>
          <w:p w14:paraId="101B4501" w14:textId="77777777" w:rsidR="002C15DD" w:rsidRDefault="002C15DD" w:rsidP="002C15DD">
            <w:r>
              <w:t>Muy poco frecuente</w:t>
            </w:r>
          </w:p>
          <w:p w14:paraId="40D6629F" w14:textId="77777777" w:rsidR="00795BDF" w:rsidRDefault="002C15DD" w:rsidP="002C15DD">
            <w:r>
              <w:t xml:space="preserve">- Alcohólicos crónicos </w:t>
            </w:r>
          </w:p>
          <w:p w14:paraId="0132F568" w14:textId="4D757183" w:rsidR="002C15DD" w:rsidRDefault="00795BDF" w:rsidP="002C15DD">
            <w:r>
              <w:t xml:space="preserve">- Enfermedades intestinales que cursan </w:t>
            </w:r>
            <w:r w:rsidR="002C15DD">
              <w:t>con problemas malabsorción</w:t>
            </w:r>
          </w:p>
          <w:p w14:paraId="3AD5228A" w14:textId="77777777" w:rsidR="009920F8" w:rsidRDefault="009920F8"/>
        </w:tc>
        <w:tc>
          <w:tcPr>
            <w:tcW w:w="4012" w:type="dxa"/>
          </w:tcPr>
          <w:p w14:paraId="1D9AD217" w14:textId="1DEE28B4" w:rsidR="009920F8" w:rsidRDefault="00795BDF">
            <w:r w:rsidRPr="006F0EBD">
              <w:rPr>
                <w:rFonts w:ascii="Avenir Book" w:hAnsi="Avenir Book"/>
                <w:noProof/>
                <w:sz w:val="20"/>
              </w:rPr>
              <w:t>Cuervo M, Abete I, Baladia E, Corbalán M, Manera M, Basulto J, et al. Ingestas Dietéticas de Referencia (IDR) para la poblac</w:t>
            </w:r>
            <w:r>
              <w:rPr>
                <w:rFonts w:ascii="Avenir Book" w:hAnsi="Avenir Book"/>
                <w:noProof/>
                <w:sz w:val="20"/>
              </w:rPr>
              <w:t>ión española FESNAD-2010. 2010.</w:t>
            </w:r>
          </w:p>
        </w:tc>
        <w:tc>
          <w:tcPr>
            <w:tcW w:w="1276" w:type="dxa"/>
          </w:tcPr>
          <w:p w14:paraId="6DC821ED" w14:textId="31D0A800" w:rsidR="00CB2110" w:rsidRDefault="00CB2110" w:rsidP="00CB2110">
            <w:r>
              <w:t xml:space="preserve">- Historia dietética </w:t>
            </w:r>
            <w:r w:rsidR="009276B7">
              <w:t xml:space="preserve">+ </w:t>
            </w:r>
            <w:r>
              <w:t xml:space="preserve">valoración nutricional  </w:t>
            </w:r>
          </w:p>
          <w:p w14:paraId="577A7A8B" w14:textId="31CA6E92" w:rsidR="009920F8" w:rsidRDefault="00CB2110" w:rsidP="00CB2110">
            <w:r>
              <w:t>- QFC</w:t>
            </w:r>
          </w:p>
        </w:tc>
        <w:tc>
          <w:tcPr>
            <w:tcW w:w="1490" w:type="dxa"/>
          </w:tcPr>
          <w:p w14:paraId="685D014D" w14:textId="6EE3B60C" w:rsidR="00CB2110" w:rsidRDefault="00CB2110" w:rsidP="00CB2110">
            <w:r>
              <w:t>- Excreción metabolitos niacina en orina</w:t>
            </w:r>
          </w:p>
          <w:p w14:paraId="10BC1D8F" w14:textId="77777777" w:rsidR="009920F8" w:rsidRDefault="009920F8"/>
        </w:tc>
        <w:tc>
          <w:tcPr>
            <w:tcW w:w="1448" w:type="dxa"/>
          </w:tcPr>
          <w:p w14:paraId="1BC6C27B" w14:textId="1DA0DA2C" w:rsidR="009920F8" w:rsidRDefault="00CB2110" w:rsidP="00CB2110">
            <w:r>
              <w:t>- Asegurar una ingesta adecuada de las principales fuentes alimentarias de niacina y triptófano</w:t>
            </w:r>
          </w:p>
        </w:tc>
        <w:tc>
          <w:tcPr>
            <w:tcW w:w="1469" w:type="dxa"/>
          </w:tcPr>
          <w:p w14:paraId="331F9FC2" w14:textId="77777777" w:rsidR="009920F8" w:rsidRDefault="009920F8"/>
        </w:tc>
        <w:tc>
          <w:tcPr>
            <w:tcW w:w="1483" w:type="dxa"/>
          </w:tcPr>
          <w:p w14:paraId="5F409C5B" w14:textId="77777777" w:rsidR="009920F8" w:rsidRDefault="009920F8"/>
        </w:tc>
      </w:tr>
      <w:tr w:rsidR="00317E2A" w14:paraId="1688EA4A" w14:textId="77777777" w:rsidTr="00F36973">
        <w:tc>
          <w:tcPr>
            <w:tcW w:w="1398" w:type="dxa"/>
          </w:tcPr>
          <w:p w14:paraId="4CB81DF6" w14:textId="47E55A22" w:rsidR="002F2E9E" w:rsidRDefault="009920F8">
            <w:r>
              <w:lastRenderedPageBreak/>
              <w:t>Vitamina B2 (riboflavina)</w:t>
            </w:r>
          </w:p>
        </w:tc>
        <w:tc>
          <w:tcPr>
            <w:tcW w:w="1644" w:type="dxa"/>
          </w:tcPr>
          <w:p w14:paraId="15EE1F82" w14:textId="77777777" w:rsidR="00317E2A" w:rsidRDefault="009920F8">
            <w:r>
              <w:t>Muy poco frecuente</w:t>
            </w:r>
          </w:p>
          <w:p w14:paraId="64090E78" w14:textId="753B4852" w:rsidR="009920F8" w:rsidRDefault="009920F8">
            <w:r>
              <w:t>- Anciano</w:t>
            </w:r>
            <w:r w:rsidR="00F36973">
              <w:t>s</w:t>
            </w:r>
            <w:r>
              <w:t xml:space="preserve"> y alcohólicos</w:t>
            </w:r>
            <w:r w:rsidR="00F36973">
              <w:t xml:space="preserve"> crónicos con problemas malabsorción</w:t>
            </w:r>
          </w:p>
          <w:p w14:paraId="4E623305" w14:textId="4E4C517B" w:rsidR="009920F8" w:rsidRDefault="009920F8">
            <w:r>
              <w:t>- Recién nacidos con hiperbilirubinemia</w:t>
            </w:r>
          </w:p>
        </w:tc>
        <w:tc>
          <w:tcPr>
            <w:tcW w:w="4012" w:type="dxa"/>
          </w:tcPr>
          <w:p w14:paraId="607464CD" w14:textId="2281AFE4" w:rsidR="00317E2A" w:rsidRDefault="00A82125">
            <w:hyperlink r:id="rId6" w:history="1">
              <w:r w:rsidR="00F36973" w:rsidRPr="00EC03CA">
                <w:rPr>
                  <w:rStyle w:val="Hipervnculo"/>
                </w:rPr>
                <w:t>https://www.efsa.europa.eu/en/efsajournal/pub/4919</w:t>
              </w:r>
            </w:hyperlink>
          </w:p>
          <w:p w14:paraId="6445908C" w14:textId="77777777" w:rsidR="00F36973" w:rsidRDefault="00F36973"/>
          <w:p w14:paraId="284C19B0" w14:textId="64FD7945" w:rsidR="00F36973" w:rsidRPr="00F36973" w:rsidRDefault="00F36973" w:rsidP="00F36973">
            <w:pPr>
              <w:widowControl w:val="0"/>
              <w:autoSpaceDE w:val="0"/>
              <w:autoSpaceDN w:val="0"/>
              <w:adjustRightInd w:val="0"/>
              <w:spacing w:after="240"/>
              <w:ind w:left="640" w:hanging="640"/>
              <w:rPr>
                <w:rFonts w:ascii="Avenir Book" w:hAnsi="Avenir Book"/>
                <w:noProof/>
                <w:sz w:val="20"/>
              </w:rPr>
            </w:pPr>
            <w:r w:rsidRPr="006F0EBD">
              <w:rPr>
                <w:rFonts w:ascii="Avenir Book" w:hAnsi="Avenir Book"/>
                <w:noProof/>
                <w:sz w:val="20"/>
              </w:rPr>
              <w:t>Cuervo M, Abete I, Baladia E, Corbalán M, Manera M, Basulto J, et al. Ingestas Dietéticas de Referencia (IDR) para la poblac</w:t>
            </w:r>
            <w:r>
              <w:rPr>
                <w:rFonts w:ascii="Avenir Book" w:hAnsi="Avenir Book"/>
                <w:noProof/>
                <w:sz w:val="20"/>
              </w:rPr>
              <w:t>ión española FESNAD-2010. 2010.</w:t>
            </w:r>
          </w:p>
        </w:tc>
        <w:tc>
          <w:tcPr>
            <w:tcW w:w="1276" w:type="dxa"/>
          </w:tcPr>
          <w:p w14:paraId="04929E1D" w14:textId="2CC9D45A" w:rsidR="009920F8" w:rsidRDefault="009920F8" w:rsidP="009920F8">
            <w:r>
              <w:t>- Historia dietética</w:t>
            </w:r>
            <w:r w:rsidR="00287272">
              <w:t xml:space="preserve"> </w:t>
            </w:r>
            <w:r w:rsidR="009276B7">
              <w:t xml:space="preserve">+ </w:t>
            </w:r>
            <w:r w:rsidR="00287272">
              <w:t>valoración nutricional</w:t>
            </w:r>
            <w:r>
              <w:t xml:space="preserve">  </w:t>
            </w:r>
          </w:p>
          <w:p w14:paraId="0A824ABC" w14:textId="07C87CF4" w:rsidR="00317E2A" w:rsidRDefault="009920F8" w:rsidP="009920F8">
            <w:r>
              <w:t>- QFC</w:t>
            </w:r>
          </w:p>
        </w:tc>
        <w:tc>
          <w:tcPr>
            <w:tcW w:w="1490" w:type="dxa"/>
          </w:tcPr>
          <w:p w14:paraId="2160A759" w14:textId="77777777" w:rsidR="00317E2A" w:rsidRDefault="00287272">
            <w:r>
              <w:t>- Excreción riboflavina en orina</w:t>
            </w:r>
          </w:p>
          <w:p w14:paraId="4379C0F3" w14:textId="3CBBE673" w:rsidR="00287272" w:rsidRDefault="00287272">
            <w:r>
              <w:t>-</w:t>
            </w:r>
            <w:r w:rsidR="00F36973">
              <w:t xml:space="preserve"> </w:t>
            </w:r>
            <w:r w:rsidR="00F36973" w:rsidRPr="00E15F8D">
              <w:rPr>
                <w:rFonts w:ascii="Avenir Book" w:hAnsi="Avenir Book" w:cs="Gill Sans"/>
                <w:sz w:val="20"/>
                <w:szCs w:val="20"/>
              </w:rPr>
              <w:t xml:space="preserve">Coeficiente de activación de la glutatión reductasa eritrocitaria (EGRAC) </w:t>
            </w:r>
            <w:r>
              <w:t xml:space="preserve"> </w:t>
            </w:r>
          </w:p>
        </w:tc>
        <w:tc>
          <w:tcPr>
            <w:tcW w:w="1448" w:type="dxa"/>
          </w:tcPr>
          <w:p w14:paraId="30EBFC06" w14:textId="718BC5D6" w:rsidR="00317E2A" w:rsidRDefault="00F36973" w:rsidP="00F36973">
            <w:r>
              <w:t>- Asegurar una ingesta adecuada de las principales fuentes alimentarias de riboflavina (leche y derivados y huevos)</w:t>
            </w:r>
          </w:p>
        </w:tc>
        <w:tc>
          <w:tcPr>
            <w:tcW w:w="1469" w:type="dxa"/>
          </w:tcPr>
          <w:p w14:paraId="68305289" w14:textId="77777777" w:rsidR="00317E2A" w:rsidRDefault="00317E2A"/>
        </w:tc>
        <w:tc>
          <w:tcPr>
            <w:tcW w:w="1483" w:type="dxa"/>
          </w:tcPr>
          <w:p w14:paraId="20DB423D" w14:textId="77777777" w:rsidR="00317E2A" w:rsidRDefault="00317E2A"/>
        </w:tc>
      </w:tr>
      <w:tr w:rsidR="00317E2A" w14:paraId="082041AE" w14:textId="77777777" w:rsidTr="00F36973">
        <w:tc>
          <w:tcPr>
            <w:tcW w:w="1398" w:type="dxa"/>
          </w:tcPr>
          <w:p w14:paraId="1D90E157" w14:textId="1400C3F2" w:rsidR="00317E2A" w:rsidRDefault="002F2E9E">
            <w:r>
              <w:t>Vitamina B1</w:t>
            </w:r>
            <w:r w:rsidR="00034821">
              <w:t xml:space="preserve"> (tiamina)</w:t>
            </w:r>
          </w:p>
        </w:tc>
        <w:tc>
          <w:tcPr>
            <w:tcW w:w="1644" w:type="dxa"/>
          </w:tcPr>
          <w:p w14:paraId="3841C516" w14:textId="57C52D67" w:rsidR="00317E2A" w:rsidRDefault="00BA2000">
            <w:r>
              <w:t xml:space="preserve">- </w:t>
            </w:r>
            <w:r w:rsidR="00034821">
              <w:t>Alcoholismo crónico</w:t>
            </w:r>
          </w:p>
          <w:p w14:paraId="61086015" w14:textId="1A085F80" w:rsidR="00AA5902" w:rsidRDefault="00AA5902">
            <w:r>
              <w:t>- Bajo consumo de cereales integrales</w:t>
            </w:r>
          </w:p>
          <w:p w14:paraId="5A2192E2" w14:textId="426BAA0D" w:rsidR="00775BFC" w:rsidRDefault="00BA2000">
            <w:r>
              <w:t xml:space="preserve">- </w:t>
            </w:r>
            <w:r w:rsidR="00775BFC">
              <w:t>Pacientes con desnutrición severa</w:t>
            </w:r>
          </w:p>
        </w:tc>
        <w:tc>
          <w:tcPr>
            <w:tcW w:w="4012" w:type="dxa"/>
          </w:tcPr>
          <w:p w14:paraId="31F6C6BD" w14:textId="31694B1F" w:rsidR="00F36973" w:rsidRDefault="00F36973" w:rsidP="00E94992">
            <w:pPr>
              <w:widowControl w:val="0"/>
              <w:autoSpaceDE w:val="0"/>
              <w:autoSpaceDN w:val="0"/>
              <w:adjustRightInd w:val="0"/>
              <w:spacing w:after="240"/>
              <w:ind w:left="640" w:hanging="640"/>
              <w:rPr>
                <w:rFonts w:ascii="Avenir Book" w:hAnsi="Avenir Book"/>
                <w:noProof/>
                <w:sz w:val="20"/>
              </w:rPr>
            </w:pPr>
            <w:r w:rsidRPr="00F36973">
              <w:rPr>
                <w:rFonts w:ascii="Avenir Book" w:hAnsi="Avenir Book"/>
                <w:noProof/>
                <w:sz w:val="20"/>
              </w:rPr>
              <w:t>https://www.efsa.europa.eu/en/efsajournal/pub/4653</w:t>
            </w:r>
          </w:p>
          <w:p w14:paraId="10240349" w14:textId="1AC6E7EB" w:rsidR="00E94992" w:rsidRPr="006F0EBD" w:rsidRDefault="00E94992" w:rsidP="00E94992">
            <w:pPr>
              <w:widowControl w:val="0"/>
              <w:autoSpaceDE w:val="0"/>
              <w:autoSpaceDN w:val="0"/>
              <w:adjustRightInd w:val="0"/>
              <w:spacing w:after="240"/>
              <w:ind w:left="640" w:hanging="640"/>
              <w:rPr>
                <w:rFonts w:ascii="Avenir Book" w:hAnsi="Avenir Book"/>
                <w:noProof/>
                <w:sz w:val="20"/>
              </w:rPr>
            </w:pPr>
            <w:r w:rsidRPr="006F0EBD">
              <w:rPr>
                <w:rFonts w:ascii="Avenir Book" w:hAnsi="Avenir Book"/>
                <w:noProof/>
                <w:sz w:val="20"/>
              </w:rPr>
              <w:t xml:space="preserve">Cuervo M, Abete I, Baladia E, Corbalán M, Manera M, Basulto J, et al. Ingestas Dietéticas de Referencia (IDR) para la población española FESNAD-2010. 2010. </w:t>
            </w:r>
          </w:p>
          <w:p w14:paraId="550CBE7E" w14:textId="509EBF0B" w:rsidR="00317E2A" w:rsidRDefault="00317E2A" w:rsidP="00F36973">
            <w:pPr>
              <w:widowControl w:val="0"/>
              <w:autoSpaceDE w:val="0"/>
              <w:autoSpaceDN w:val="0"/>
              <w:adjustRightInd w:val="0"/>
              <w:spacing w:after="240"/>
              <w:ind w:left="640" w:hanging="640"/>
            </w:pPr>
          </w:p>
        </w:tc>
        <w:tc>
          <w:tcPr>
            <w:tcW w:w="1276" w:type="dxa"/>
          </w:tcPr>
          <w:p w14:paraId="4E447622" w14:textId="2A9F7393" w:rsidR="00317E2A" w:rsidRDefault="00BA2000" w:rsidP="00BA2000">
            <w:r>
              <w:t>- Historia dietética</w:t>
            </w:r>
            <w:r w:rsidR="007F08EA">
              <w:t xml:space="preserve"> </w:t>
            </w:r>
            <w:r w:rsidR="00287272">
              <w:t>+ valoración nutricional</w:t>
            </w:r>
            <w:r>
              <w:t xml:space="preserve"> </w:t>
            </w:r>
          </w:p>
          <w:p w14:paraId="64F4D22B" w14:textId="1447C053" w:rsidR="00AA5902" w:rsidRDefault="00AA5902" w:rsidP="00BA2000">
            <w:r>
              <w:t>- QFC</w:t>
            </w:r>
          </w:p>
        </w:tc>
        <w:tc>
          <w:tcPr>
            <w:tcW w:w="1490" w:type="dxa"/>
          </w:tcPr>
          <w:p w14:paraId="779D5E13" w14:textId="3435A91C" w:rsidR="00317E2A" w:rsidRDefault="00BA2000">
            <w:r>
              <w:t xml:space="preserve">- </w:t>
            </w:r>
            <w:r w:rsidR="00585B73">
              <w:t>A</w:t>
            </w:r>
            <w:r>
              <w:t>ctividad transcetolasa eritrocitaria</w:t>
            </w:r>
          </w:p>
          <w:p w14:paraId="2A88DBAC" w14:textId="77777777" w:rsidR="00034821" w:rsidRDefault="00BA2000">
            <w:r>
              <w:t>- Excreción tiamina en orina 24h</w:t>
            </w:r>
          </w:p>
          <w:p w14:paraId="1F2FB921" w14:textId="09A57656" w:rsidR="00BA2000" w:rsidRDefault="00BA2000"/>
        </w:tc>
        <w:tc>
          <w:tcPr>
            <w:tcW w:w="1448" w:type="dxa"/>
          </w:tcPr>
          <w:p w14:paraId="04DDE3FC" w14:textId="0D21FF28" w:rsidR="00317E2A" w:rsidRDefault="00274AB6" w:rsidP="00AA5902">
            <w:r>
              <w:t xml:space="preserve">- Asegurar una ingesta </w:t>
            </w:r>
            <w:r w:rsidR="00AA5902">
              <w:t>adecuada</w:t>
            </w:r>
            <w:r>
              <w:t xml:space="preserve"> de las principales fuentes alimentarias de tiamina (cereales integrales</w:t>
            </w:r>
            <w:r w:rsidR="00AA5902">
              <w:t>, principalmente</w:t>
            </w:r>
            <w:r>
              <w:t>) para cubrir los valores de ingestas recomendadas</w:t>
            </w:r>
          </w:p>
        </w:tc>
        <w:tc>
          <w:tcPr>
            <w:tcW w:w="1469" w:type="dxa"/>
          </w:tcPr>
          <w:p w14:paraId="4F7FE87A" w14:textId="77777777" w:rsidR="00317E2A" w:rsidRDefault="00317E2A"/>
        </w:tc>
        <w:tc>
          <w:tcPr>
            <w:tcW w:w="1483" w:type="dxa"/>
          </w:tcPr>
          <w:p w14:paraId="7906776B" w14:textId="77777777" w:rsidR="00317E2A" w:rsidRDefault="00317E2A"/>
        </w:tc>
      </w:tr>
      <w:tr w:rsidR="00317E2A" w14:paraId="213F308A" w14:textId="77777777" w:rsidTr="00F36973">
        <w:tc>
          <w:tcPr>
            <w:tcW w:w="1398" w:type="dxa"/>
          </w:tcPr>
          <w:p w14:paraId="588462C9" w14:textId="5E944B96" w:rsidR="00317E2A" w:rsidRDefault="003C2ADC">
            <w:r>
              <w:t xml:space="preserve"> </w:t>
            </w:r>
          </w:p>
        </w:tc>
        <w:tc>
          <w:tcPr>
            <w:tcW w:w="1644" w:type="dxa"/>
          </w:tcPr>
          <w:p w14:paraId="69CEAA29" w14:textId="77777777" w:rsidR="00317E2A" w:rsidRDefault="00317E2A"/>
        </w:tc>
        <w:tc>
          <w:tcPr>
            <w:tcW w:w="4012" w:type="dxa"/>
          </w:tcPr>
          <w:p w14:paraId="3862CB60" w14:textId="77777777" w:rsidR="00317E2A" w:rsidRDefault="00317E2A"/>
        </w:tc>
        <w:tc>
          <w:tcPr>
            <w:tcW w:w="1276" w:type="dxa"/>
          </w:tcPr>
          <w:p w14:paraId="4120EB9B" w14:textId="77777777" w:rsidR="00317E2A" w:rsidRDefault="00317E2A"/>
        </w:tc>
        <w:tc>
          <w:tcPr>
            <w:tcW w:w="1490" w:type="dxa"/>
          </w:tcPr>
          <w:p w14:paraId="26FB68F6" w14:textId="77777777" w:rsidR="00317E2A" w:rsidRDefault="00317E2A"/>
        </w:tc>
        <w:tc>
          <w:tcPr>
            <w:tcW w:w="1448" w:type="dxa"/>
          </w:tcPr>
          <w:p w14:paraId="15F65C11" w14:textId="77777777" w:rsidR="00317E2A" w:rsidRDefault="00317E2A"/>
        </w:tc>
        <w:tc>
          <w:tcPr>
            <w:tcW w:w="1469" w:type="dxa"/>
          </w:tcPr>
          <w:p w14:paraId="2736C295" w14:textId="77777777" w:rsidR="00317E2A" w:rsidRDefault="00317E2A"/>
        </w:tc>
        <w:tc>
          <w:tcPr>
            <w:tcW w:w="1483" w:type="dxa"/>
          </w:tcPr>
          <w:p w14:paraId="7AD38FC3" w14:textId="77777777" w:rsidR="00317E2A" w:rsidRDefault="00317E2A"/>
        </w:tc>
      </w:tr>
      <w:tr w:rsidR="00317E2A" w14:paraId="14233318" w14:textId="77777777" w:rsidTr="00F36973">
        <w:tc>
          <w:tcPr>
            <w:tcW w:w="1398" w:type="dxa"/>
          </w:tcPr>
          <w:p w14:paraId="1035EBFD" w14:textId="6C9BC2DA" w:rsidR="00317E2A" w:rsidRDefault="003C2ADC">
            <w:r>
              <w:lastRenderedPageBreak/>
              <w:t xml:space="preserve"> </w:t>
            </w:r>
          </w:p>
        </w:tc>
        <w:tc>
          <w:tcPr>
            <w:tcW w:w="1644" w:type="dxa"/>
          </w:tcPr>
          <w:p w14:paraId="7FAAF1D1" w14:textId="77777777" w:rsidR="00317E2A" w:rsidRDefault="00317E2A"/>
        </w:tc>
        <w:tc>
          <w:tcPr>
            <w:tcW w:w="4012" w:type="dxa"/>
          </w:tcPr>
          <w:p w14:paraId="5C0BE5DF" w14:textId="77777777" w:rsidR="00317E2A" w:rsidRDefault="00317E2A"/>
        </w:tc>
        <w:tc>
          <w:tcPr>
            <w:tcW w:w="1276" w:type="dxa"/>
          </w:tcPr>
          <w:p w14:paraId="4F7E7B18" w14:textId="77777777" w:rsidR="00317E2A" w:rsidRDefault="00317E2A"/>
        </w:tc>
        <w:tc>
          <w:tcPr>
            <w:tcW w:w="1490" w:type="dxa"/>
          </w:tcPr>
          <w:p w14:paraId="424534D1" w14:textId="77777777" w:rsidR="00317E2A" w:rsidRDefault="00317E2A"/>
        </w:tc>
        <w:tc>
          <w:tcPr>
            <w:tcW w:w="1448" w:type="dxa"/>
          </w:tcPr>
          <w:p w14:paraId="7407FB62" w14:textId="77777777" w:rsidR="00317E2A" w:rsidRDefault="00317E2A"/>
        </w:tc>
        <w:tc>
          <w:tcPr>
            <w:tcW w:w="1469" w:type="dxa"/>
          </w:tcPr>
          <w:p w14:paraId="7143C70D" w14:textId="77777777" w:rsidR="00317E2A" w:rsidRDefault="00317E2A"/>
        </w:tc>
        <w:tc>
          <w:tcPr>
            <w:tcW w:w="1483" w:type="dxa"/>
          </w:tcPr>
          <w:p w14:paraId="50381FA7" w14:textId="77777777" w:rsidR="00317E2A" w:rsidRDefault="00317E2A"/>
        </w:tc>
      </w:tr>
      <w:tr w:rsidR="00317E2A" w14:paraId="23A09E72" w14:textId="77777777" w:rsidTr="00F36973">
        <w:tc>
          <w:tcPr>
            <w:tcW w:w="1398" w:type="dxa"/>
          </w:tcPr>
          <w:p w14:paraId="256BE900" w14:textId="77777777" w:rsidR="00317E2A" w:rsidRDefault="00317E2A"/>
        </w:tc>
        <w:tc>
          <w:tcPr>
            <w:tcW w:w="1644" w:type="dxa"/>
          </w:tcPr>
          <w:p w14:paraId="37D67134" w14:textId="77777777" w:rsidR="00317E2A" w:rsidRDefault="00317E2A"/>
        </w:tc>
        <w:tc>
          <w:tcPr>
            <w:tcW w:w="4012" w:type="dxa"/>
          </w:tcPr>
          <w:p w14:paraId="38C1A751" w14:textId="77777777" w:rsidR="00317E2A" w:rsidRDefault="00317E2A"/>
        </w:tc>
        <w:tc>
          <w:tcPr>
            <w:tcW w:w="1276" w:type="dxa"/>
          </w:tcPr>
          <w:p w14:paraId="783C9694" w14:textId="77777777" w:rsidR="00317E2A" w:rsidRDefault="00317E2A"/>
        </w:tc>
        <w:tc>
          <w:tcPr>
            <w:tcW w:w="1490" w:type="dxa"/>
          </w:tcPr>
          <w:p w14:paraId="4769A8E5" w14:textId="77777777" w:rsidR="00317E2A" w:rsidRDefault="00317E2A"/>
        </w:tc>
        <w:tc>
          <w:tcPr>
            <w:tcW w:w="1448" w:type="dxa"/>
          </w:tcPr>
          <w:p w14:paraId="3B814038" w14:textId="77777777" w:rsidR="00317E2A" w:rsidRDefault="00317E2A"/>
        </w:tc>
        <w:tc>
          <w:tcPr>
            <w:tcW w:w="1469" w:type="dxa"/>
          </w:tcPr>
          <w:p w14:paraId="688974D1" w14:textId="77777777" w:rsidR="00317E2A" w:rsidRDefault="00317E2A"/>
        </w:tc>
        <w:tc>
          <w:tcPr>
            <w:tcW w:w="1483" w:type="dxa"/>
          </w:tcPr>
          <w:p w14:paraId="7C5352E9" w14:textId="77777777" w:rsidR="00317E2A" w:rsidRDefault="00317E2A"/>
        </w:tc>
      </w:tr>
      <w:tr w:rsidR="00317E2A" w14:paraId="3E67F1C2" w14:textId="77777777" w:rsidTr="00F36973">
        <w:tc>
          <w:tcPr>
            <w:tcW w:w="1398" w:type="dxa"/>
          </w:tcPr>
          <w:p w14:paraId="63EB412C" w14:textId="77777777" w:rsidR="00317E2A" w:rsidRDefault="00317E2A"/>
        </w:tc>
        <w:tc>
          <w:tcPr>
            <w:tcW w:w="1644" w:type="dxa"/>
          </w:tcPr>
          <w:p w14:paraId="533012F2" w14:textId="77777777" w:rsidR="00317E2A" w:rsidRDefault="00317E2A"/>
        </w:tc>
        <w:tc>
          <w:tcPr>
            <w:tcW w:w="4012" w:type="dxa"/>
          </w:tcPr>
          <w:p w14:paraId="76539F35" w14:textId="77777777" w:rsidR="00317E2A" w:rsidRDefault="00317E2A"/>
        </w:tc>
        <w:tc>
          <w:tcPr>
            <w:tcW w:w="1276" w:type="dxa"/>
          </w:tcPr>
          <w:p w14:paraId="010FB788" w14:textId="77777777" w:rsidR="00317E2A" w:rsidRDefault="00317E2A"/>
        </w:tc>
        <w:tc>
          <w:tcPr>
            <w:tcW w:w="1490" w:type="dxa"/>
          </w:tcPr>
          <w:p w14:paraId="530098DF" w14:textId="77777777" w:rsidR="00317E2A" w:rsidRDefault="00317E2A"/>
        </w:tc>
        <w:tc>
          <w:tcPr>
            <w:tcW w:w="1448" w:type="dxa"/>
          </w:tcPr>
          <w:p w14:paraId="58F59341" w14:textId="77777777" w:rsidR="00317E2A" w:rsidRDefault="00317E2A"/>
        </w:tc>
        <w:tc>
          <w:tcPr>
            <w:tcW w:w="1469" w:type="dxa"/>
          </w:tcPr>
          <w:p w14:paraId="601F0DA9" w14:textId="77777777" w:rsidR="00317E2A" w:rsidRDefault="00317E2A"/>
        </w:tc>
        <w:tc>
          <w:tcPr>
            <w:tcW w:w="1483" w:type="dxa"/>
          </w:tcPr>
          <w:p w14:paraId="225BFF90" w14:textId="77777777" w:rsidR="00317E2A" w:rsidRDefault="00317E2A"/>
        </w:tc>
      </w:tr>
      <w:tr w:rsidR="00317E2A" w14:paraId="0C9781BA" w14:textId="77777777" w:rsidTr="00F36973">
        <w:tc>
          <w:tcPr>
            <w:tcW w:w="1398" w:type="dxa"/>
          </w:tcPr>
          <w:p w14:paraId="34B26D07" w14:textId="77777777" w:rsidR="00317E2A" w:rsidRDefault="00317E2A"/>
        </w:tc>
        <w:tc>
          <w:tcPr>
            <w:tcW w:w="1644" w:type="dxa"/>
          </w:tcPr>
          <w:p w14:paraId="3C0D7F4F" w14:textId="77777777" w:rsidR="00317E2A" w:rsidRDefault="00317E2A"/>
        </w:tc>
        <w:tc>
          <w:tcPr>
            <w:tcW w:w="4012" w:type="dxa"/>
          </w:tcPr>
          <w:p w14:paraId="6CD9C466" w14:textId="77777777" w:rsidR="00317E2A" w:rsidRDefault="00317E2A"/>
        </w:tc>
        <w:tc>
          <w:tcPr>
            <w:tcW w:w="1276" w:type="dxa"/>
          </w:tcPr>
          <w:p w14:paraId="795080ED" w14:textId="77777777" w:rsidR="00317E2A" w:rsidRDefault="00317E2A"/>
        </w:tc>
        <w:tc>
          <w:tcPr>
            <w:tcW w:w="1490" w:type="dxa"/>
          </w:tcPr>
          <w:p w14:paraId="206EF850" w14:textId="77777777" w:rsidR="00317E2A" w:rsidRDefault="00317E2A"/>
        </w:tc>
        <w:tc>
          <w:tcPr>
            <w:tcW w:w="1448" w:type="dxa"/>
          </w:tcPr>
          <w:p w14:paraId="5C38E469" w14:textId="77777777" w:rsidR="00317E2A" w:rsidRDefault="00317E2A"/>
        </w:tc>
        <w:tc>
          <w:tcPr>
            <w:tcW w:w="1469" w:type="dxa"/>
          </w:tcPr>
          <w:p w14:paraId="0D9F77B3" w14:textId="77777777" w:rsidR="00317E2A" w:rsidRDefault="00317E2A"/>
        </w:tc>
        <w:tc>
          <w:tcPr>
            <w:tcW w:w="1483" w:type="dxa"/>
          </w:tcPr>
          <w:p w14:paraId="39BFC28E" w14:textId="77777777" w:rsidR="00317E2A" w:rsidRDefault="00317E2A"/>
        </w:tc>
      </w:tr>
    </w:tbl>
    <w:p w14:paraId="2B5882A1" w14:textId="77777777" w:rsidR="0000045E" w:rsidRDefault="0000045E"/>
    <w:sectPr w:rsidR="0000045E" w:rsidSect="003504F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Book">
    <w:altName w:val="Corbel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377BB"/>
    <w:multiLevelType w:val="hybridMultilevel"/>
    <w:tmpl w:val="E736C11E"/>
    <w:lvl w:ilvl="0" w:tplc="3D8A2872">
      <w:start w:val="3"/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F8"/>
    <w:rsid w:val="0000045E"/>
    <w:rsid w:val="0001148D"/>
    <w:rsid w:val="000158A5"/>
    <w:rsid w:val="00034821"/>
    <w:rsid w:val="00052202"/>
    <w:rsid w:val="000818BC"/>
    <w:rsid w:val="00096AFB"/>
    <w:rsid w:val="000D7117"/>
    <w:rsid w:val="00196986"/>
    <w:rsid w:val="001C2D28"/>
    <w:rsid w:val="001C71BA"/>
    <w:rsid w:val="00204658"/>
    <w:rsid w:val="00205ADA"/>
    <w:rsid w:val="00221642"/>
    <w:rsid w:val="00234325"/>
    <w:rsid w:val="002361BF"/>
    <w:rsid w:val="00274AB6"/>
    <w:rsid w:val="002807FD"/>
    <w:rsid w:val="002815DD"/>
    <w:rsid w:val="00287272"/>
    <w:rsid w:val="00293A67"/>
    <w:rsid w:val="002A3D39"/>
    <w:rsid w:val="002C15DD"/>
    <w:rsid w:val="002D3CCE"/>
    <w:rsid w:val="002F2E9E"/>
    <w:rsid w:val="00317E2A"/>
    <w:rsid w:val="00331F1F"/>
    <w:rsid w:val="003504F8"/>
    <w:rsid w:val="00351728"/>
    <w:rsid w:val="00367067"/>
    <w:rsid w:val="00397416"/>
    <w:rsid w:val="003C2ADC"/>
    <w:rsid w:val="003E1EDD"/>
    <w:rsid w:val="00416E73"/>
    <w:rsid w:val="004314AD"/>
    <w:rsid w:val="00436BA0"/>
    <w:rsid w:val="00440E0D"/>
    <w:rsid w:val="004960C8"/>
    <w:rsid w:val="00503A7B"/>
    <w:rsid w:val="00537832"/>
    <w:rsid w:val="005765A5"/>
    <w:rsid w:val="00581B1B"/>
    <w:rsid w:val="0058486A"/>
    <w:rsid w:val="00585B73"/>
    <w:rsid w:val="0061387E"/>
    <w:rsid w:val="0066568A"/>
    <w:rsid w:val="00690C67"/>
    <w:rsid w:val="006F1E2A"/>
    <w:rsid w:val="007329DA"/>
    <w:rsid w:val="00737776"/>
    <w:rsid w:val="0076746A"/>
    <w:rsid w:val="00775BFC"/>
    <w:rsid w:val="00787E85"/>
    <w:rsid w:val="00795BDF"/>
    <w:rsid w:val="00796D72"/>
    <w:rsid w:val="007A4059"/>
    <w:rsid w:val="007B79BA"/>
    <w:rsid w:val="007E50AF"/>
    <w:rsid w:val="007F08EA"/>
    <w:rsid w:val="00804164"/>
    <w:rsid w:val="0081268E"/>
    <w:rsid w:val="0087655C"/>
    <w:rsid w:val="00876733"/>
    <w:rsid w:val="008836A1"/>
    <w:rsid w:val="008D560D"/>
    <w:rsid w:val="009276B7"/>
    <w:rsid w:val="00945567"/>
    <w:rsid w:val="0095008B"/>
    <w:rsid w:val="00951FAD"/>
    <w:rsid w:val="009538CD"/>
    <w:rsid w:val="00970BE2"/>
    <w:rsid w:val="009920F8"/>
    <w:rsid w:val="00994170"/>
    <w:rsid w:val="009B3887"/>
    <w:rsid w:val="009C4D59"/>
    <w:rsid w:val="009F71ED"/>
    <w:rsid w:val="00A66380"/>
    <w:rsid w:val="00A82125"/>
    <w:rsid w:val="00AA5902"/>
    <w:rsid w:val="00AA6712"/>
    <w:rsid w:val="00AE4188"/>
    <w:rsid w:val="00AF3121"/>
    <w:rsid w:val="00AF6EF5"/>
    <w:rsid w:val="00B102F8"/>
    <w:rsid w:val="00B220E7"/>
    <w:rsid w:val="00B4402F"/>
    <w:rsid w:val="00B44366"/>
    <w:rsid w:val="00B705BA"/>
    <w:rsid w:val="00BA2000"/>
    <w:rsid w:val="00BE3B5F"/>
    <w:rsid w:val="00C96EBF"/>
    <w:rsid w:val="00CB2110"/>
    <w:rsid w:val="00CE4E39"/>
    <w:rsid w:val="00D102FC"/>
    <w:rsid w:val="00D20D6D"/>
    <w:rsid w:val="00D25C20"/>
    <w:rsid w:val="00D8787E"/>
    <w:rsid w:val="00DA236E"/>
    <w:rsid w:val="00E42735"/>
    <w:rsid w:val="00E94992"/>
    <w:rsid w:val="00EA32DB"/>
    <w:rsid w:val="00ED4756"/>
    <w:rsid w:val="00F25C6F"/>
    <w:rsid w:val="00F36973"/>
    <w:rsid w:val="00F50B83"/>
    <w:rsid w:val="00F858D4"/>
    <w:rsid w:val="00FA2CE5"/>
    <w:rsid w:val="00FC054E"/>
    <w:rsid w:val="00FC5730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27F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50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A59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69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50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A59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69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efsa.europa.eu/en/efsajournal/pub/4919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474</Words>
  <Characters>2610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Maria Joana</cp:lastModifiedBy>
  <cp:revision>25</cp:revision>
  <dcterms:created xsi:type="dcterms:W3CDTF">2017-11-27T16:54:00Z</dcterms:created>
  <dcterms:modified xsi:type="dcterms:W3CDTF">2017-12-10T17:52:00Z</dcterms:modified>
</cp:coreProperties>
</file>