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D8E46E" w14:textId="77777777" w:rsidR="00F44CFC" w:rsidRPr="009208BB" w:rsidRDefault="00F44CFC" w:rsidP="00F44CFC">
      <w:pPr>
        <w:spacing w:line="276" w:lineRule="auto"/>
        <w:rPr>
          <w:rFonts w:ascii="Avenir Book" w:hAnsi="Avenir Book" w:cs="Arial"/>
          <w:b/>
          <w:color w:val="4F81BD" w:themeColor="accent1"/>
          <w:sz w:val="20"/>
          <w:szCs w:val="20"/>
        </w:rPr>
      </w:pPr>
      <w:r w:rsidRPr="009208BB">
        <w:rPr>
          <w:rFonts w:ascii="Avenir Book" w:hAnsi="Avenir Book" w:cs="Arial"/>
          <w:b/>
          <w:color w:val="4F81BD" w:themeColor="accent1"/>
          <w:sz w:val="20"/>
          <w:szCs w:val="20"/>
        </w:rPr>
        <w:t>1ª SESIÓN CLÍNICA CODNIB</w:t>
      </w:r>
      <w:r>
        <w:rPr>
          <w:rFonts w:ascii="Avenir Book" w:hAnsi="Avenir Book" w:cs="Arial"/>
          <w:b/>
          <w:color w:val="4F81BD" w:themeColor="accent1"/>
          <w:sz w:val="20"/>
          <w:szCs w:val="20"/>
        </w:rPr>
        <w:t xml:space="preserve"> – Maria Joana Mateu</w:t>
      </w:r>
    </w:p>
    <w:p w14:paraId="08C02708" w14:textId="77777777" w:rsidR="00F44CFC" w:rsidRDefault="00F44CFC" w:rsidP="004E7AB7">
      <w:pPr>
        <w:spacing w:line="276" w:lineRule="auto"/>
        <w:rPr>
          <w:rFonts w:ascii="Avenir Book" w:hAnsi="Avenir Book" w:cs="Arial"/>
          <w:b/>
          <w:sz w:val="20"/>
          <w:szCs w:val="20"/>
          <w:u w:val="single"/>
        </w:rPr>
      </w:pPr>
    </w:p>
    <w:p w14:paraId="4EA613EE" w14:textId="77777777" w:rsidR="004E7AB7" w:rsidRPr="00AC6F2E" w:rsidRDefault="004E7AB7" w:rsidP="004E7AB7">
      <w:pPr>
        <w:spacing w:line="276" w:lineRule="auto"/>
        <w:rPr>
          <w:rFonts w:ascii="Avenir Book" w:hAnsi="Avenir Book" w:cs="Arial"/>
          <w:b/>
          <w:sz w:val="20"/>
          <w:szCs w:val="20"/>
          <w:u w:val="single"/>
        </w:rPr>
      </w:pPr>
      <w:r w:rsidRPr="00AC6F2E">
        <w:rPr>
          <w:rFonts w:ascii="Avenir Book" w:hAnsi="Avenir Book" w:cs="Arial"/>
          <w:b/>
          <w:sz w:val="20"/>
          <w:szCs w:val="20"/>
          <w:u w:val="single"/>
        </w:rPr>
        <w:t>VITAMINA B</w:t>
      </w:r>
      <w:r>
        <w:rPr>
          <w:rFonts w:ascii="Avenir Book" w:hAnsi="Avenir Book" w:cs="Arial"/>
          <w:b/>
          <w:sz w:val="20"/>
          <w:szCs w:val="20"/>
          <w:u w:val="single"/>
          <w:vertAlign w:val="subscript"/>
        </w:rPr>
        <w:t>6</w:t>
      </w:r>
      <w:r w:rsidRPr="00AC6F2E">
        <w:rPr>
          <w:rFonts w:ascii="Avenir Book" w:hAnsi="Avenir Book" w:cs="Arial"/>
          <w:b/>
          <w:sz w:val="20"/>
          <w:szCs w:val="20"/>
          <w:u w:val="single"/>
        </w:rPr>
        <w:t xml:space="preserve"> (</w:t>
      </w:r>
      <w:r>
        <w:rPr>
          <w:rFonts w:ascii="Avenir Book" w:hAnsi="Avenir Book" w:cs="Arial"/>
          <w:b/>
          <w:sz w:val="20"/>
          <w:szCs w:val="20"/>
          <w:u w:val="single"/>
        </w:rPr>
        <w:t>Piridoxina</w:t>
      </w:r>
      <w:r w:rsidRPr="00AC6F2E">
        <w:rPr>
          <w:rFonts w:ascii="Avenir Book" w:hAnsi="Avenir Book" w:cs="Arial"/>
          <w:b/>
          <w:sz w:val="20"/>
          <w:szCs w:val="20"/>
          <w:u w:val="single"/>
        </w:rPr>
        <w:t>)</w:t>
      </w:r>
    </w:p>
    <w:p w14:paraId="545769E0" w14:textId="77777777" w:rsidR="00F44CFC" w:rsidRDefault="00F44CFC" w:rsidP="00F44CFC">
      <w:pPr>
        <w:spacing w:line="276" w:lineRule="auto"/>
        <w:rPr>
          <w:rFonts w:ascii="Avenir Book" w:hAnsi="Avenir Book" w:cs="Arial"/>
          <w:b/>
          <w:color w:val="4F81BD" w:themeColor="accent1"/>
          <w:sz w:val="20"/>
          <w:szCs w:val="20"/>
        </w:rPr>
      </w:pPr>
    </w:p>
    <w:p w14:paraId="38859D1A" w14:textId="77777777" w:rsidR="004E7AB7" w:rsidRPr="00F44CFC" w:rsidRDefault="00F44CFC" w:rsidP="004E7AB7">
      <w:pPr>
        <w:spacing w:line="276" w:lineRule="auto"/>
        <w:rPr>
          <w:rFonts w:ascii="Avenir Book" w:hAnsi="Avenir Book" w:cs="Arial"/>
          <w:sz w:val="20"/>
          <w:szCs w:val="20"/>
          <w:vertAlign w:val="superscript"/>
        </w:rPr>
      </w:pPr>
      <w:r>
        <w:rPr>
          <w:rFonts w:ascii="Avenir Book" w:hAnsi="Avenir Book" w:cs="Arial"/>
          <w:b/>
          <w:color w:val="4F81BD" w:themeColor="accent1"/>
          <w:sz w:val="20"/>
          <w:szCs w:val="20"/>
        </w:rPr>
        <w:t>1. Características de una deficiencia y población de riesgo</w:t>
      </w:r>
    </w:p>
    <w:p w14:paraId="5FC0A54F" w14:textId="0518A938" w:rsidR="00E22642" w:rsidRDefault="00026B73" w:rsidP="004E7AB7">
      <w:pPr>
        <w:spacing w:line="276" w:lineRule="auto"/>
        <w:rPr>
          <w:rFonts w:ascii="Avenir Book" w:hAnsi="Avenir Book" w:cs="Arial"/>
          <w:sz w:val="20"/>
          <w:szCs w:val="20"/>
        </w:rPr>
      </w:pPr>
      <w:r>
        <w:rPr>
          <w:rFonts w:ascii="Avenir Book" w:hAnsi="Avenir Book" w:cs="Arial"/>
          <w:sz w:val="20"/>
          <w:szCs w:val="20"/>
        </w:rPr>
        <w:tab/>
      </w:r>
      <w:r w:rsidR="005B7C0A">
        <w:rPr>
          <w:rFonts w:ascii="Avenir Book" w:hAnsi="Avenir Book" w:cs="Arial"/>
          <w:sz w:val="20"/>
          <w:szCs w:val="20"/>
        </w:rPr>
        <w:t>La vitamina B6 es el nombre que se utiliza para referirise a un conjunto de vitámeros</w:t>
      </w:r>
      <w:r>
        <w:rPr>
          <w:rFonts w:ascii="Avenir Book" w:hAnsi="Avenir Book" w:cs="Arial"/>
          <w:sz w:val="20"/>
          <w:szCs w:val="20"/>
        </w:rPr>
        <w:t xml:space="preserve"> hidrosolubes</w:t>
      </w:r>
      <w:r w:rsidR="005B7C0A">
        <w:rPr>
          <w:rFonts w:ascii="Avenir Book" w:hAnsi="Avenir Book" w:cs="Arial"/>
          <w:sz w:val="20"/>
          <w:szCs w:val="20"/>
        </w:rPr>
        <w:t>: piridoxina, piridoxal y piridoxamina</w:t>
      </w:r>
      <w:r>
        <w:rPr>
          <w:rFonts w:ascii="Avenir Book" w:hAnsi="Avenir Book" w:cs="Arial"/>
          <w:sz w:val="20"/>
          <w:szCs w:val="20"/>
        </w:rPr>
        <w:t xml:space="preserve"> y sus respectivas formas fosforiladas. Todos estos vitámeros se encuentran de forma natural en un amplio grupo de alimentos.</w:t>
      </w:r>
    </w:p>
    <w:p w14:paraId="1E2089B6" w14:textId="77777777" w:rsidR="00026B73" w:rsidRDefault="00026B73" w:rsidP="004E7AB7">
      <w:pPr>
        <w:spacing w:line="276" w:lineRule="auto"/>
        <w:rPr>
          <w:rFonts w:ascii="Avenir Book" w:hAnsi="Avenir Book" w:cs="Arial"/>
          <w:sz w:val="20"/>
          <w:szCs w:val="20"/>
        </w:rPr>
      </w:pPr>
    </w:p>
    <w:p w14:paraId="614FBFB7" w14:textId="42599423" w:rsidR="00026B73" w:rsidRDefault="00026B73" w:rsidP="004E7AB7">
      <w:pPr>
        <w:spacing w:line="276" w:lineRule="auto"/>
        <w:rPr>
          <w:rFonts w:ascii="Avenir Book" w:hAnsi="Avenir Book" w:cs="Arial"/>
          <w:sz w:val="20"/>
          <w:szCs w:val="20"/>
        </w:rPr>
      </w:pPr>
      <w:r>
        <w:rPr>
          <w:rFonts w:ascii="Avenir Book" w:hAnsi="Avenir Book" w:cs="Arial"/>
          <w:sz w:val="20"/>
          <w:szCs w:val="20"/>
        </w:rPr>
        <w:t>Las formas metabólicamente activas, piridoxal 5-fosfato (PLP) y piridoxamina 5-fosfato (PMP) actuan como cofactores</w:t>
      </w:r>
      <w:r w:rsidR="00C23DB2">
        <w:rPr>
          <w:rFonts w:ascii="Avenir Book" w:hAnsi="Avenir Book" w:cs="Arial"/>
          <w:sz w:val="20"/>
          <w:szCs w:val="20"/>
        </w:rPr>
        <w:t xml:space="preserve"> de enzimas involucrada</w:t>
      </w:r>
      <w:r>
        <w:rPr>
          <w:rFonts w:ascii="Avenir Book" w:hAnsi="Avenir Book" w:cs="Arial"/>
          <w:sz w:val="20"/>
          <w:szCs w:val="20"/>
        </w:rPr>
        <w:t xml:space="preserve">s en el metabolismo de los aa, glicogenolisis y gluconeogénsis, </w:t>
      </w:r>
      <w:r w:rsidR="0051368B">
        <w:rPr>
          <w:rFonts w:ascii="Avenir Book" w:hAnsi="Avenir Book" w:cs="Arial"/>
          <w:sz w:val="20"/>
          <w:szCs w:val="20"/>
        </w:rPr>
        <w:t>síntesis</w:t>
      </w:r>
      <w:r>
        <w:rPr>
          <w:rFonts w:ascii="Avenir Book" w:hAnsi="Avenir Book" w:cs="Arial"/>
          <w:sz w:val="20"/>
          <w:szCs w:val="20"/>
        </w:rPr>
        <w:t xml:space="preserve"> de niacina,</w:t>
      </w:r>
      <w:r w:rsidR="0051368B">
        <w:rPr>
          <w:rFonts w:ascii="Avenir Book" w:hAnsi="Avenir Book" w:cs="Arial"/>
          <w:sz w:val="20"/>
          <w:szCs w:val="20"/>
        </w:rPr>
        <w:t xml:space="preserve"> síntesis del grupo hemo,</w:t>
      </w:r>
      <w:r>
        <w:rPr>
          <w:rFonts w:ascii="Avenir Book" w:hAnsi="Avenir Book" w:cs="Arial"/>
          <w:sz w:val="20"/>
          <w:szCs w:val="20"/>
        </w:rPr>
        <w:t xml:space="preserve"> metabolismo lipídico, síntesis de neurotransmisores</w:t>
      </w:r>
      <w:r w:rsidR="00C03DE3">
        <w:rPr>
          <w:rFonts w:ascii="Avenir Book" w:hAnsi="Avenir Book" w:cs="Arial"/>
          <w:sz w:val="20"/>
          <w:szCs w:val="20"/>
        </w:rPr>
        <w:t>, mantenimiento de los niveles de homocisteina en sangre</w:t>
      </w:r>
      <w:r>
        <w:rPr>
          <w:rFonts w:ascii="Avenir Book" w:hAnsi="Avenir Book" w:cs="Arial"/>
          <w:sz w:val="20"/>
          <w:szCs w:val="20"/>
        </w:rPr>
        <w:t xml:space="preserve"> y acción hormonal. No obstante los seis derivados de vitamina B6 tienen actividad vitamínica ya que pueden ser convertidos en el cuerpo a las formas activas (PLP y PMP) </w:t>
      </w:r>
      <w:r w:rsidR="00C03DE3">
        <w:rPr>
          <w:rFonts w:ascii="Avenir Book" w:hAnsi="Avenir Book" w:cs="Arial"/>
          <w:sz w:val="20"/>
          <w:szCs w:val="20"/>
        </w:rPr>
        <w:fldChar w:fldCharType="begin" w:fldLock="1"/>
      </w:r>
      <w:r w:rsidR="00C03DE3">
        <w:rPr>
          <w:rFonts w:ascii="Avenir Book" w:hAnsi="Avenir Book" w:cs="Arial"/>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sidR="00C03DE3">
        <w:rPr>
          <w:rFonts w:ascii="Avenir Book" w:hAnsi="Avenir Book" w:cs="Arial"/>
          <w:sz w:val="20"/>
          <w:szCs w:val="20"/>
        </w:rPr>
        <w:fldChar w:fldCharType="separate"/>
      </w:r>
      <w:r w:rsidR="00C03DE3" w:rsidRPr="00C03DE3">
        <w:rPr>
          <w:rFonts w:ascii="Avenir Book" w:hAnsi="Avenir Book" w:cs="Arial"/>
          <w:noProof/>
          <w:sz w:val="20"/>
          <w:szCs w:val="20"/>
        </w:rPr>
        <w:t>(1)</w:t>
      </w:r>
      <w:r w:rsidR="00C03DE3">
        <w:rPr>
          <w:rFonts w:ascii="Avenir Book" w:hAnsi="Avenir Book" w:cs="Arial"/>
          <w:sz w:val="20"/>
          <w:szCs w:val="20"/>
        </w:rPr>
        <w:fldChar w:fldCharType="end"/>
      </w:r>
      <w:r>
        <w:rPr>
          <w:rFonts w:ascii="Avenir Book" w:hAnsi="Avenir Book" w:cs="Arial"/>
          <w:sz w:val="20"/>
          <w:szCs w:val="20"/>
        </w:rPr>
        <w:t>.</w:t>
      </w:r>
    </w:p>
    <w:p w14:paraId="7C92AD86" w14:textId="77777777" w:rsidR="00E22642" w:rsidRDefault="00E22642" w:rsidP="004E7AB7">
      <w:pPr>
        <w:spacing w:line="276" w:lineRule="auto"/>
        <w:rPr>
          <w:rFonts w:ascii="Avenir Book" w:hAnsi="Avenir Book" w:cs="Arial"/>
          <w:sz w:val="20"/>
          <w:szCs w:val="20"/>
        </w:rPr>
      </w:pPr>
    </w:p>
    <w:p w14:paraId="15838841" w14:textId="6B7360EC" w:rsidR="004E7AB7" w:rsidRDefault="00026B73" w:rsidP="004E7AB7">
      <w:pPr>
        <w:spacing w:line="276" w:lineRule="auto"/>
        <w:rPr>
          <w:rFonts w:ascii="Avenir Book" w:hAnsi="Avenir Book" w:cs="Arial"/>
          <w:sz w:val="20"/>
          <w:szCs w:val="20"/>
        </w:rPr>
      </w:pPr>
      <w:r>
        <w:rPr>
          <w:rFonts w:ascii="Avenir Book" w:hAnsi="Avenir Book" w:cs="Arial"/>
          <w:sz w:val="20"/>
          <w:szCs w:val="20"/>
        </w:rPr>
        <w:t>Un déficit de vitamina B6 es poco habitual pero se caracteriza por: anemia hipocrómica microcítica y anormalidades neurológicas (electroencefalogramas anormales y convulsiones)</w:t>
      </w:r>
      <w:r w:rsidR="0051368B">
        <w:rPr>
          <w:rFonts w:ascii="Avenir Book" w:hAnsi="Avenir Book" w:cs="Arial"/>
          <w:sz w:val="20"/>
          <w:szCs w:val="20"/>
        </w:rPr>
        <w:t>, dermatitis</w:t>
      </w:r>
      <w:r w:rsidR="00265D76">
        <w:rPr>
          <w:rFonts w:ascii="Avenir Book" w:hAnsi="Avenir Book" w:cs="Arial"/>
          <w:sz w:val="20"/>
          <w:szCs w:val="20"/>
        </w:rPr>
        <w:t xml:space="preserve"> seborreica, eczema,</w:t>
      </w:r>
      <w:r w:rsidR="00C03DE3">
        <w:rPr>
          <w:rFonts w:ascii="Avenir Book" w:hAnsi="Avenir Book" w:cs="Arial"/>
          <w:sz w:val="20"/>
          <w:szCs w:val="20"/>
        </w:rPr>
        <w:t xml:space="preserve"> </w:t>
      </w:r>
      <w:r w:rsidR="00265D76" w:rsidRPr="00C03DE3">
        <w:rPr>
          <w:rFonts w:ascii="Avenir Book" w:hAnsi="Avenir Book" w:cs="Times"/>
          <w:sz w:val="20"/>
          <w:szCs w:val="20"/>
          <w:lang w:val="es-ES"/>
        </w:rPr>
        <w:t>queilosis, glositis, parestesias y</w:t>
      </w:r>
      <w:r w:rsidR="00265D76">
        <w:rPr>
          <w:rFonts w:ascii="Avenir Book" w:hAnsi="Avenir Book" w:cs="Times"/>
          <w:sz w:val="20"/>
          <w:szCs w:val="20"/>
          <w:lang w:val="es-ES"/>
        </w:rPr>
        <w:t xml:space="preserve"> </w:t>
      </w:r>
      <w:r w:rsidR="00265D76" w:rsidRPr="00C03DE3">
        <w:rPr>
          <w:rFonts w:ascii="Avenir Book" w:hAnsi="Avenir Book" w:cs="Times"/>
          <w:sz w:val="20"/>
          <w:szCs w:val="20"/>
          <w:lang w:val="es-ES"/>
        </w:rPr>
        <w:t>depresión</w:t>
      </w:r>
      <w:r w:rsidR="00265D76">
        <w:rPr>
          <w:rFonts w:ascii="Avenir Book" w:hAnsi="Avenir Book" w:cs="Times"/>
          <w:sz w:val="20"/>
          <w:szCs w:val="20"/>
          <w:lang w:val="es-ES"/>
        </w:rPr>
        <w:t xml:space="preserve"> </w:t>
      </w:r>
      <w:r w:rsidR="00C03DE3">
        <w:rPr>
          <w:rFonts w:ascii="Avenir Book" w:hAnsi="Avenir Book" w:cs="Arial"/>
          <w:sz w:val="20"/>
          <w:szCs w:val="20"/>
        </w:rPr>
        <w:fldChar w:fldCharType="begin" w:fldLock="1"/>
      </w:r>
      <w:r w:rsidR="00C03DE3">
        <w:rPr>
          <w:rFonts w:ascii="Avenir Book" w:hAnsi="Avenir Book" w:cs="Arial"/>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sidR="00C03DE3">
        <w:rPr>
          <w:rFonts w:ascii="Avenir Book" w:hAnsi="Avenir Book" w:cs="Arial"/>
          <w:sz w:val="20"/>
          <w:szCs w:val="20"/>
        </w:rPr>
        <w:fldChar w:fldCharType="separate"/>
      </w:r>
      <w:r w:rsidR="00C03DE3" w:rsidRPr="00C03DE3">
        <w:rPr>
          <w:rFonts w:ascii="Avenir Book" w:hAnsi="Avenir Book" w:cs="Arial"/>
          <w:noProof/>
          <w:sz w:val="20"/>
          <w:szCs w:val="20"/>
        </w:rPr>
        <w:t>(1)</w:t>
      </w:r>
      <w:r w:rsidR="00C03DE3">
        <w:rPr>
          <w:rFonts w:ascii="Avenir Book" w:hAnsi="Avenir Book" w:cs="Arial"/>
          <w:sz w:val="20"/>
          <w:szCs w:val="20"/>
        </w:rPr>
        <w:fldChar w:fldCharType="end"/>
      </w:r>
      <w:r w:rsidR="00C03DE3">
        <w:rPr>
          <w:rFonts w:ascii="Avenir Book" w:hAnsi="Avenir Book" w:cs="Times"/>
          <w:sz w:val="20"/>
          <w:szCs w:val="20"/>
          <w:lang w:val="es-ES"/>
        </w:rPr>
        <w:fldChar w:fldCharType="begin" w:fldLock="1"/>
      </w:r>
      <w:r w:rsidR="00C03DE3">
        <w:rPr>
          <w:rFonts w:ascii="Avenir Book" w:hAnsi="Avenir Book" w:cs="Time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C03DE3">
        <w:rPr>
          <w:rFonts w:ascii="Avenir Book" w:hAnsi="Avenir Book" w:cs="Times"/>
          <w:sz w:val="20"/>
          <w:szCs w:val="20"/>
          <w:lang w:val="es-ES"/>
        </w:rPr>
        <w:fldChar w:fldCharType="separate"/>
      </w:r>
      <w:r w:rsidR="00C03DE3" w:rsidRPr="00C03DE3">
        <w:rPr>
          <w:rFonts w:ascii="Avenir Book" w:hAnsi="Avenir Book" w:cs="Times"/>
          <w:noProof/>
          <w:sz w:val="20"/>
          <w:szCs w:val="20"/>
          <w:lang w:val="es-ES"/>
        </w:rPr>
        <w:t>(2)</w:t>
      </w:r>
      <w:r w:rsidR="00C03DE3">
        <w:rPr>
          <w:rFonts w:ascii="Avenir Book" w:hAnsi="Avenir Book" w:cs="Times"/>
          <w:sz w:val="20"/>
          <w:szCs w:val="20"/>
          <w:lang w:val="es-ES"/>
        </w:rPr>
        <w:fldChar w:fldCharType="end"/>
      </w:r>
      <w:r w:rsidR="00C03DE3">
        <w:rPr>
          <w:rFonts w:ascii="Avenir Book" w:hAnsi="Avenir Book" w:cs="Times"/>
          <w:sz w:val="20"/>
          <w:szCs w:val="20"/>
          <w:lang w:val="es-ES"/>
        </w:rPr>
        <w:fldChar w:fldCharType="begin" w:fldLock="1"/>
      </w:r>
      <w:r w:rsidR="00813DF6">
        <w:rPr>
          <w:rFonts w:ascii="Avenir Book" w:hAnsi="Avenir Book" w:cs="Times"/>
          <w:sz w:val="20"/>
          <w:szCs w:val="20"/>
          <w:lang w:val="es-ES"/>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"(3)", "plainTextFormattedCitation" : "(3)", "previouslyFormattedCitation" : "(3)" }, "properties" : { "noteIndex" : 0 }, "schema" : "https://github.com/citation-style-language/schema/raw/master/csl-citation.json" }</w:instrText>
      </w:r>
      <w:r w:rsidR="00C03DE3">
        <w:rPr>
          <w:rFonts w:ascii="Avenir Book" w:hAnsi="Avenir Book" w:cs="Times"/>
          <w:sz w:val="20"/>
          <w:szCs w:val="20"/>
          <w:lang w:val="es-ES"/>
        </w:rPr>
        <w:fldChar w:fldCharType="separate"/>
      </w:r>
      <w:r w:rsidR="00C03DE3" w:rsidRPr="00C03DE3">
        <w:rPr>
          <w:rFonts w:ascii="Avenir Book" w:hAnsi="Avenir Book" w:cs="Times"/>
          <w:noProof/>
          <w:sz w:val="20"/>
          <w:szCs w:val="20"/>
          <w:lang w:val="es-ES"/>
        </w:rPr>
        <w:t>(3)</w:t>
      </w:r>
      <w:r w:rsidR="00C03DE3">
        <w:rPr>
          <w:rFonts w:ascii="Avenir Book" w:hAnsi="Avenir Book" w:cs="Times"/>
          <w:sz w:val="20"/>
          <w:szCs w:val="20"/>
          <w:lang w:val="es-ES"/>
        </w:rPr>
        <w:fldChar w:fldCharType="end"/>
      </w:r>
      <w:r w:rsidR="00CC7944">
        <w:rPr>
          <w:rFonts w:ascii="Avenir Book" w:hAnsi="Avenir Book" w:cs="Times"/>
          <w:sz w:val="20"/>
          <w:szCs w:val="20"/>
          <w:lang w:val="es-ES"/>
        </w:rPr>
        <w:t>.</w:t>
      </w:r>
    </w:p>
    <w:p w14:paraId="720EE79F" w14:textId="77777777" w:rsidR="004E7AB7" w:rsidRDefault="004E7AB7" w:rsidP="004E7AB7">
      <w:pPr>
        <w:spacing w:line="276" w:lineRule="auto"/>
        <w:rPr>
          <w:rFonts w:ascii="Avenir Book" w:hAnsi="Avenir Book" w:cs="Arial"/>
          <w:sz w:val="20"/>
          <w:szCs w:val="20"/>
        </w:rPr>
      </w:pPr>
    </w:p>
    <w:p w14:paraId="40D8BFF0" w14:textId="3DB3059A" w:rsidR="00F44CFC" w:rsidRDefault="00F44CFC" w:rsidP="00F44CFC">
      <w:pPr>
        <w:widowControl w:val="0"/>
        <w:autoSpaceDE w:val="0"/>
        <w:autoSpaceDN w:val="0"/>
        <w:adjustRightInd w:val="0"/>
        <w:spacing w:line="276" w:lineRule="auto"/>
        <w:rPr>
          <w:rFonts w:ascii="Avenir Book" w:hAnsi="Avenir Book" w:cs="Arial"/>
          <w:sz w:val="20"/>
          <w:szCs w:val="20"/>
          <w:vertAlign w:val="superscript"/>
          <w:lang w:val="es-ES"/>
        </w:rPr>
      </w:pPr>
      <w:r w:rsidRPr="003067E0">
        <w:rPr>
          <w:rFonts w:ascii="Avenir Book" w:hAnsi="Avenir Book" w:cs="Arial"/>
          <w:b/>
          <w:sz w:val="20"/>
          <w:szCs w:val="20"/>
        </w:rPr>
        <w:t>Población de riesgo</w:t>
      </w:r>
    </w:p>
    <w:p w14:paraId="564839B8" w14:textId="5A433E12" w:rsidR="00F44CFC" w:rsidRPr="004E7036" w:rsidRDefault="002B2AC0" w:rsidP="00F44CFC">
      <w:pPr>
        <w:widowControl w:val="0"/>
        <w:autoSpaceDE w:val="0"/>
        <w:autoSpaceDN w:val="0"/>
        <w:adjustRightInd w:val="0"/>
        <w:spacing w:line="276" w:lineRule="auto"/>
        <w:rPr>
          <w:rFonts w:ascii="Avenir Book" w:hAnsi="Avenir Book" w:cs="Gill Sans"/>
          <w:sz w:val="20"/>
          <w:szCs w:val="20"/>
          <w:lang w:val="es-ES"/>
        </w:rPr>
      </w:pPr>
      <w:r>
        <w:rPr>
          <w:rFonts w:ascii="Avenir Book" w:hAnsi="Avenir Book" w:cs="Gill Sans"/>
          <w:sz w:val="20"/>
          <w:szCs w:val="20"/>
          <w:lang w:val="es-ES"/>
        </w:rPr>
        <w:t>Aunque l</w:t>
      </w:r>
      <w:r w:rsidR="00F44CFC" w:rsidRPr="00CB636F">
        <w:rPr>
          <w:rFonts w:ascii="Avenir Book" w:hAnsi="Avenir Book" w:cs="Gill Sans"/>
          <w:sz w:val="20"/>
          <w:szCs w:val="20"/>
          <w:lang w:val="es-ES"/>
        </w:rPr>
        <w:t xml:space="preserve">as carencias </w:t>
      </w:r>
      <w:r w:rsidR="00C03DE3">
        <w:rPr>
          <w:rFonts w:ascii="Avenir Book" w:hAnsi="Avenir Book" w:cs="Gill Sans"/>
          <w:sz w:val="20"/>
          <w:szCs w:val="20"/>
          <w:lang w:val="es-ES"/>
        </w:rPr>
        <w:t>de esta vitamina</w:t>
      </w:r>
      <w:r w:rsidR="00F44CFC" w:rsidRPr="00CB636F">
        <w:rPr>
          <w:rFonts w:ascii="Avenir Book" w:hAnsi="Avenir Book" w:cs="Gill Sans"/>
          <w:sz w:val="20"/>
          <w:szCs w:val="20"/>
          <w:lang w:val="es-ES"/>
        </w:rPr>
        <w:t xml:space="preserve"> son muy raras</w:t>
      </w:r>
      <w:r w:rsidR="00C03DE3">
        <w:rPr>
          <w:rFonts w:ascii="Avenir Book" w:hAnsi="Avenir Book" w:cs="Gill Sans"/>
          <w:sz w:val="20"/>
          <w:szCs w:val="20"/>
          <w:lang w:val="es-ES"/>
        </w:rPr>
        <w:t xml:space="preserve"> en los países industrializados</w:t>
      </w:r>
      <w:r w:rsidR="00F44CFC" w:rsidRPr="00CB636F">
        <w:rPr>
          <w:rFonts w:ascii="Avenir Book" w:hAnsi="Avenir Book" w:cs="Gill Sans"/>
          <w:sz w:val="20"/>
          <w:szCs w:val="20"/>
          <w:lang w:val="es-ES"/>
        </w:rPr>
        <w:t xml:space="preserve"> dada la abundancia de la piridoxina en los alimentos</w:t>
      </w:r>
      <w:r w:rsidR="00C23DB2">
        <w:rPr>
          <w:rFonts w:ascii="Avenir Book" w:hAnsi="Avenir Book" w:cs="Gill Sans"/>
          <w:sz w:val="20"/>
          <w:szCs w:val="20"/>
          <w:lang w:val="es-ES"/>
        </w:rPr>
        <w:t xml:space="preserve"> </w:t>
      </w:r>
      <w:r w:rsidR="00DE5F1C">
        <w:rPr>
          <w:rFonts w:ascii="Avenir Book" w:hAnsi="Avenir Book" w:cs="Gill Sans"/>
          <w:sz w:val="20"/>
          <w:szCs w:val="20"/>
          <w:lang w:val="es-ES"/>
        </w:rPr>
        <w:t>a continuación se detallan</w:t>
      </w:r>
      <w:r w:rsidR="00813DF6">
        <w:rPr>
          <w:rFonts w:ascii="Avenir Book" w:hAnsi="Avenir Book" w:cs="Gill Sans"/>
          <w:sz w:val="20"/>
          <w:szCs w:val="20"/>
          <w:lang w:val="es-ES"/>
        </w:rPr>
        <w:t xml:space="preserve"> las situaciones de mayor riesgo:</w:t>
      </w:r>
    </w:p>
    <w:p w14:paraId="140F0110" w14:textId="15A5A462" w:rsidR="00F44CFC" w:rsidRPr="006E1CBF" w:rsidRDefault="00962C85" w:rsidP="00F44CFC">
      <w:pPr>
        <w:pStyle w:val="Prrafodelista"/>
        <w:widowControl w:val="0"/>
        <w:numPr>
          <w:ilvl w:val="0"/>
          <w:numId w:val="1"/>
        </w:numPr>
        <w:autoSpaceDE w:val="0"/>
        <w:autoSpaceDN w:val="0"/>
        <w:adjustRightInd w:val="0"/>
        <w:spacing w:after="240" w:line="276" w:lineRule="auto"/>
        <w:rPr>
          <w:rFonts w:ascii="Avenir Book" w:hAnsi="Avenir Book" w:cs="Times"/>
          <w:sz w:val="20"/>
          <w:szCs w:val="20"/>
          <w:lang w:val="es-ES"/>
        </w:rPr>
      </w:pPr>
      <w:r>
        <w:rPr>
          <w:rFonts w:ascii="Avenir Book" w:hAnsi="Avenir Book" w:cs="Gill Sans"/>
          <w:sz w:val="20"/>
          <w:szCs w:val="20"/>
          <w:lang w:val="es-ES"/>
        </w:rPr>
        <w:t>a</w:t>
      </w:r>
      <w:r w:rsidR="00F44CFC" w:rsidRPr="00813DF6">
        <w:rPr>
          <w:rFonts w:ascii="Avenir Book" w:hAnsi="Avenir Book" w:cs="Gill Sans"/>
          <w:sz w:val="20"/>
          <w:szCs w:val="20"/>
          <w:lang w:val="es-ES"/>
        </w:rPr>
        <w:t>lcohólicos crónicos</w:t>
      </w:r>
      <w:r w:rsidR="00813DF6">
        <w:rPr>
          <w:rFonts w:ascii="Avenir Book" w:hAnsi="Avenir Book" w:cs="Gill Sans"/>
          <w:sz w:val="20"/>
          <w:szCs w:val="20"/>
          <w:lang w:val="es-ES"/>
        </w:rPr>
        <w:t xml:space="preserve"> </w:t>
      </w:r>
      <w:r w:rsidR="00813DF6" w:rsidRPr="00813DF6">
        <w:rPr>
          <w:rFonts w:ascii="Avenir Book" w:hAnsi="Avenir Book" w:cs="Gill Sans"/>
          <w:sz w:val="20"/>
          <w:szCs w:val="20"/>
          <w:lang w:val="es-ES"/>
        </w:rPr>
        <w:sym w:font="Wingdings" w:char="F0E0"/>
      </w:r>
      <w:r w:rsidR="00813DF6">
        <w:rPr>
          <w:rFonts w:ascii="Avenir Book" w:hAnsi="Avenir Book" w:cs="Gill Sans"/>
          <w:sz w:val="20"/>
          <w:szCs w:val="20"/>
          <w:lang w:val="es-ES"/>
        </w:rPr>
        <w:t xml:space="preserve"> </w:t>
      </w:r>
      <w:r>
        <w:rPr>
          <w:rFonts w:ascii="Avenir Book" w:hAnsi="Avenir Book" w:cs="Gill Sans"/>
          <w:sz w:val="20"/>
          <w:szCs w:val="20"/>
          <w:lang w:val="es-ES"/>
        </w:rPr>
        <w:t>a</w:t>
      </w:r>
      <w:r w:rsidR="00F44CFC" w:rsidRPr="006E1CBF">
        <w:rPr>
          <w:rFonts w:ascii="Avenir Book" w:hAnsi="Avenir Book" w:cs="Gill Sans"/>
          <w:sz w:val="20"/>
          <w:szCs w:val="20"/>
          <w:lang w:val="es-ES"/>
        </w:rPr>
        <w:t>demás del aporte escaso y los problemas de absorción que afectan en general a la mayo</w:t>
      </w:r>
      <w:r w:rsidR="00F44CFC">
        <w:rPr>
          <w:rFonts w:ascii="Avenir Book" w:hAnsi="Avenir Book" w:cs="Gill Sans"/>
          <w:sz w:val="20"/>
          <w:szCs w:val="20"/>
          <w:lang w:val="es-ES"/>
        </w:rPr>
        <w:t>ría de las vitaminas, los alco</w:t>
      </w:r>
      <w:r w:rsidR="00F44CFC" w:rsidRPr="006E1CBF">
        <w:rPr>
          <w:rFonts w:ascii="Avenir Book" w:hAnsi="Avenir Book" w:cs="Gill Sans"/>
          <w:sz w:val="20"/>
          <w:szCs w:val="20"/>
          <w:lang w:val="es-ES"/>
        </w:rPr>
        <w:t>hólicos crónico</w:t>
      </w:r>
      <w:r w:rsidR="00F44CFC">
        <w:rPr>
          <w:rFonts w:ascii="Avenir Book" w:hAnsi="Avenir Book" w:cs="Gill Sans"/>
          <w:sz w:val="20"/>
          <w:szCs w:val="20"/>
          <w:lang w:val="es-ES"/>
        </w:rPr>
        <w:t>s presentan alteraciones del me</w:t>
      </w:r>
      <w:r w:rsidR="00F44CFC" w:rsidRPr="006E1CBF">
        <w:rPr>
          <w:rFonts w:ascii="Avenir Book" w:hAnsi="Avenir Book" w:cs="Gill Sans"/>
          <w:sz w:val="20"/>
          <w:szCs w:val="20"/>
          <w:lang w:val="es-ES"/>
        </w:rPr>
        <w:t xml:space="preserve">tabolismo de la piridoxina. </w:t>
      </w:r>
      <w:r w:rsidR="00C23DB2">
        <w:rPr>
          <w:rFonts w:ascii="Avenir Book" w:hAnsi="Avenir Book" w:cs="Gill Sans"/>
          <w:sz w:val="20"/>
          <w:szCs w:val="20"/>
          <w:lang w:val="es-ES"/>
        </w:rPr>
        <w:t>Presentan una</w:t>
      </w:r>
      <w:r w:rsidR="00F44CFC" w:rsidRPr="006E1CBF">
        <w:rPr>
          <w:rFonts w:ascii="Avenir Book" w:hAnsi="Avenir Book" w:cs="Gill Sans"/>
          <w:sz w:val="20"/>
          <w:szCs w:val="20"/>
          <w:lang w:val="es-ES"/>
        </w:rPr>
        <w:t xml:space="preserve"> disminución de la fosforilación y </w:t>
      </w:r>
      <w:r w:rsidR="00F44CFC">
        <w:rPr>
          <w:rFonts w:ascii="Avenir Book" w:hAnsi="Avenir Book" w:cs="Gill Sans"/>
          <w:sz w:val="20"/>
          <w:szCs w:val="20"/>
          <w:lang w:val="es-ES"/>
        </w:rPr>
        <w:t>aceleración de la desfosforila</w:t>
      </w:r>
      <w:r w:rsidR="00C23DB2">
        <w:rPr>
          <w:rFonts w:ascii="Avenir Book" w:hAnsi="Avenir Book" w:cs="Gill Sans"/>
          <w:sz w:val="20"/>
          <w:szCs w:val="20"/>
          <w:lang w:val="es-ES"/>
        </w:rPr>
        <w:t>ción</w:t>
      </w:r>
      <w:r w:rsidR="00F44CFC" w:rsidRPr="006E1CBF">
        <w:rPr>
          <w:rFonts w:ascii="Avenir Book" w:hAnsi="Avenir Book" w:cs="Gill Sans"/>
          <w:sz w:val="20"/>
          <w:szCs w:val="20"/>
          <w:lang w:val="es-ES"/>
        </w:rPr>
        <w:t xml:space="preserve"> así como un aumento de la excreción renal</w:t>
      </w:r>
      <w:r w:rsidR="00813DF6">
        <w:rPr>
          <w:rFonts w:ascii="Avenir Book" w:hAnsi="Avenir Book" w:cs="Gill Sans"/>
          <w:sz w:val="20"/>
          <w:szCs w:val="20"/>
          <w:lang w:val="es-ES"/>
        </w:rPr>
        <w:t xml:space="preserve"> </w:t>
      </w:r>
      <w:r w:rsidR="00813DF6">
        <w:rPr>
          <w:rFonts w:ascii="Avenir Book" w:hAnsi="Avenir Book" w:cs="Gill Sans"/>
          <w:sz w:val="20"/>
          <w:szCs w:val="20"/>
          <w:lang w:val="es-ES"/>
        </w:rPr>
        <w:fldChar w:fldCharType="begin" w:fldLock="1"/>
      </w:r>
      <w:r w:rsidR="00813DF6">
        <w:rPr>
          <w:rFonts w:ascii="Avenir Book" w:hAnsi="Avenir Book" w:cs="Gill Sans"/>
          <w:sz w:val="20"/>
          <w:szCs w:val="20"/>
          <w:lang w:val="es-ES"/>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sidR="00813DF6">
        <w:rPr>
          <w:rFonts w:ascii="Avenir Book" w:hAnsi="Avenir Book" w:cs="Gill Sans"/>
          <w:sz w:val="20"/>
          <w:szCs w:val="20"/>
          <w:lang w:val="es-ES"/>
        </w:rPr>
        <w:fldChar w:fldCharType="separate"/>
      </w:r>
      <w:r w:rsidR="00813DF6" w:rsidRPr="00813DF6">
        <w:rPr>
          <w:rFonts w:ascii="Avenir Book" w:hAnsi="Avenir Book" w:cs="Gill Sans"/>
          <w:noProof/>
          <w:sz w:val="20"/>
          <w:szCs w:val="20"/>
          <w:lang w:val="es-ES"/>
        </w:rPr>
        <w:t>(1)</w:t>
      </w:r>
      <w:r w:rsidR="00813DF6">
        <w:rPr>
          <w:rFonts w:ascii="Avenir Book" w:hAnsi="Avenir Book" w:cs="Gill Sans"/>
          <w:sz w:val="20"/>
          <w:szCs w:val="20"/>
          <w:lang w:val="es-ES"/>
        </w:rPr>
        <w:fldChar w:fldCharType="end"/>
      </w:r>
      <w:r w:rsidR="00813DF6">
        <w:rPr>
          <w:rFonts w:ascii="Avenir Book" w:hAnsi="Avenir Book" w:cs="Gill Sans"/>
          <w:sz w:val="20"/>
          <w:szCs w:val="20"/>
          <w:lang w:val="es-ES"/>
        </w:rPr>
        <w:fldChar w:fldCharType="begin" w:fldLock="1"/>
      </w:r>
      <w:r w:rsidR="00813DF6">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813DF6">
        <w:rPr>
          <w:rFonts w:ascii="Avenir Book" w:hAnsi="Avenir Book" w:cs="Gill Sans"/>
          <w:sz w:val="20"/>
          <w:szCs w:val="20"/>
          <w:lang w:val="es-ES"/>
        </w:rPr>
        <w:fldChar w:fldCharType="separate"/>
      </w:r>
      <w:r w:rsidR="00813DF6" w:rsidRPr="00813DF6">
        <w:rPr>
          <w:rFonts w:ascii="Avenir Book" w:hAnsi="Avenir Book" w:cs="Gill Sans"/>
          <w:noProof/>
          <w:sz w:val="20"/>
          <w:szCs w:val="20"/>
          <w:lang w:val="es-ES"/>
        </w:rPr>
        <w:t>(2)</w:t>
      </w:r>
      <w:r w:rsidR="00813DF6">
        <w:rPr>
          <w:rFonts w:ascii="Avenir Book" w:hAnsi="Avenir Book" w:cs="Gill Sans"/>
          <w:sz w:val="20"/>
          <w:szCs w:val="20"/>
          <w:lang w:val="es-ES"/>
        </w:rPr>
        <w:fldChar w:fldCharType="end"/>
      </w:r>
      <w:r w:rsidR="00F44CFC" w:rsidRPr="006E1CBF">
        <w:rPr>
          <w:rFonts w:ascii="Avenir Book" w:hAnsi="Avenir Book" w:cs="Gill Sans"/>
          <w:sz w:val="20"/>
          <w:szCs w:val="20"/>
          <w:lang w:val="es-ES"/>
        </w:rPr>
        <w:t>.</w:t>
      </w:r>
    </w:p>
    <w:p w14:paraId="1A10E8EC" w14:textId="7E3071B2" w:rsidR="00813DF6" w:rsidRPr="00962C85" w:rsidRDefault="00962C85" w:rsidP="00813DF6">
      <w:pPr>
        <w:pStyle w:val="Prrafodelista"/>
        <w:widowControl w:val="0"/>
        <w:numPr>
          <w:ilvl w:val="0"/>
          <w:numId w:val="1"/>
        </w:numPr>
        <w:autoSpaceDE w:val="0"/>
        <w:autoSpaceDN w:val="0"/>
        <w:adjustRightInd w:val="0"/>
        <w:spacing w:after="240" w:line="276" w:lineRule="auto"/>
        <w:rPr>
          <w:rFonts w:ascii="Avenir Book" w:hAnsi="Avenir Book" w:cs="Times"/>
          <w:sz w:val="20"/>
          <w:szCs w:val="20"/>
          <w:lang w:val="es-ES"/>
        </w:rPr>
      </w:pPr>
      <w:r>
        <w:rPr>
          <w:rFonts w:ascii="Avenir Book" w:hAnsi="Avenir Book" w:cs="Gill Sans"/>
          <w:sz w:val="20"/>
          <w:szCs w:val="20"/>
          <w:lang w:val="es-ES"/>
        </w:rPr>
        <w:t>h</w:t>
      </w:r>
      <w:r w:rsidR="00DE5F1C">
        <w:rPr>
          <w:rFonts w:ascii="Avenir Book" w:hAnsi="Avenir Book" w:cs="Gill Sans"/>
          <w:sz w:val="20"/>
          <w:szCs w:val="20"/>
          <w:lang w:val="es-ES"/>
        </w:rPr>
        <w:t xml:space="preserve">emodiálisis crónica </w:t>
      </w:r>
      <w:r w:rsidR="00DE5F1C" w:rsidRPr="00DE5F1C">
        <w:rPr>
          <w:rFonts w:ascii="Avenir Book" w:hAnsi="Avenir Book" w:cs="Gill Sans"/>
          <w:sz w:val="20"/>
          <w:szCs w:val="20"/>
          <w:lang w:val="es-ES"/>
        </w:rPr>
        <w:sym w:font="Wingdings" w:char="F0E0"/>
      </w:r>
      <w:r w:rsidR="00DE5F1C">
        <w:rPr>
          <w:rFonts w:ascii="Avenir Book" w:hAnsi="Avenir Book" w:cs="Gill Sans"/>
          <w:sz w:val="20"/>
          <w:szCs w:val="20"/>
          <w:lang w:val="es-ES"/>
        </w:rPr>
        <w:t xml:space="preserve"> e</w:t>
      </w:r>
      <w:r w:rsidR="00813DF6">
        <w:rPr>
          <w:rFonts w:ascii="Avenir Book" w:hAnsi="Avenir Book" w:cs="Gill Sans"/>
          <w:sz w:val="20"/>
          <w:szCs w:val="20"/>
          <w:lang w:val="es-ES"/>
        </w:rPr>
        <w:t>s</w:t>
      </w:r>
      <w:r w:rsidR="00813DF6" w:rsidRPr="006E1CBF">
        <w:rPr>
          <w:rFonts w:ascii="Avenir Book" w:hAnsi="Avenir Book" w:cs="Gill Sans"/>
          <w:sz w:val="20"/>
          <w:szCs w:val="20"/>
          <w:lang w:val="es-ES"/>
        </w:rPr>
        <w:t>tos pacientes tienen mayores requerimientos de piridoxina, aunque no se conocen bien las c</w:t>
      </w:r>
      <w:r w:rsidR="00813DF6">
        <w:rPr>
          <w:rFonts w:ascii="Avenir Book" w:hAnsi="Avenir Book" w:cs="Gill Sans"/>
          <w:sz w:val="20"/>
          <w:szCs w:val="20"/>
          <w:lang w:val="es-ES"/>
        </w:rPr>
        <w:t xml:space="preserve">ausas. Es posible que </w:t>
      </w:r>
      <w:r w:rsidR="00DF605C">
        <w:rPr>
          <w:rFonts w:ascii="Avenir Book" w:hAnsi="Avenir Book" w:cs="Gill Sans"/>
          <w:sz w:val="20"/>
          <w:szCs w:val="20"/>
          <w:lang w:val="es-ES"/>
        </w:rPr>
        <w:t xml:space="preserve">exista una mayor eliminación de PLP </w:t>
      </w:r>
      <w:r w:rsidR="005B136D">
        <w:rPr>
          <w:rFonts w:ascii="Avenir Book" w:hAnsi="Avenir Book" w:cs="Gill Sans"/>
          <w:sz w:val="20"/>
          <w:szCs w:val="20"/>
          <w:lang w:val="es-ES"/>
        </w:rPr>
        <w:fldChar w:fldCharType="begin" w:fldLock="1"/>
      </w:r>
      <w:r w:rsidR="007419DE">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5B136D">
        <w:rPr>
          <w:rFonts w:ascii="Avenir Book" w:hAnsi="Avenir Book" w:cs="Gill Sans"/>
          <w:sz w:val="20"/>
          <w:szCs w:val="20"/>
          <w:lang w:val="es-ES"/>
        </w:rPr>
        <w:fldChar w:fldCharType="separate"/>
      </w:r>
      <w:r w:rsidR="005B136D" w:rsidRPr="005B136D">
        <w:rPr>
          <w:rFonts w:ascii="Avenir Book" w:hAnsi="Avenir Book" w:cs="Gill Sans"/>
          <w:noProof/>
          <w:sz w:val="20"/>
          <w:szCs w:val="20"/>
          <w:lang w:val="es-ES"/>
        </w:rPr>
        <w:t>(2)</w:t>
      </w:r>
      <w:r w:rsidR="005B136D">
        <w:rPr>
          <w:rFonts w:ascii="Avenir Book" w:hAnsi="Avenir Book" w:cs="Gill Sans"/>
          <w:sz w:val="20"/>
          <w:szCs w:val="20"/>
          <w:lang w:val="es-ES"/>
        </w:rPr>
        <w:fldChar w:fldCharType="end"/>
      </w:r>
      <w:r w:rsidR="00DF605C">
        <w:rPr>
          <w:rFonts w:ascii="Avenir Book" w:hAnsi="Avenir Book" w:cs="Gill Sans"/>
          <w:sz w:val="20"/>
          <w:szCs w:val="20"/>
          <w:lang w:val="es-ES"/>
        </w:rPr>
        <w:t xml:space="preserve">. </w:t>
      </w:r>
    </w:p>
    <w:p w14:paraId="1F47F736" w14:textId="504A8D62" w:rsidR="00962C85" w:rsidRDefault="00962C85" w:rsidP="00813DF6">
      <w:pPr>
        <w:pStyle w:val="Prrafodelista"/>
        <w:widowControl w:val="0"/>
        <w:numPr>
          <w:ilvl w:val="0"/>
          <w:numId w:val="1"/>
        </w:numPr>
        <w:autoSpaceDE w:val="0"/>
        <w:autoSpaceDN w:val="0"/>
        <w:adjustRightInd w:val="0"/>
        <w:spacing w:after="240" w:line="276" w:lineRule="auto"/>
        <w:rPr>
          <w:rFonts w:ascii="Avenir Book" w:hAnsi="Avenir Book" w:cs="Times"/>
          <w:sz w:val="20"/>
          <w:szCs w:val="20"/>
          <w:lang w:val="es-ES"/>
        </w:rPr>
      </w:pPr>
      <w:r>
        <w:rPr>
          <w:rFonts w:ascii="Avenir Book" w:hAnsi="Avenir Book" w:cs="Gill Sans"/>
          <w:sz w:val="20"/>
          <w:szCs w:val="20"/>
          <w:lang w:val="es-ES"/>
        </w:rPr>
        <w:t>paciente con enfermadades que cursan con malabsoricón: celiaquismo, enfermedad de Crohn, colitis ulcerosa.</w:t>
      </w:r>
    </w:p>
    <w:p w14:paraId="1EA88726" w14:textId="475B9ECC" w:rsidR="00F44CFC" w:rsidRPr="006E1CBF" w:rsidRDefault="00962C85" w:rsidP="00F44CFC">
      <w:pPr>
        <w:pStyle w:val="Prrafodelista"/>
        <w:widowControl w:val="0"/>
        <w:numPr>
          <w:ilvl w:val="0"/>
          <w:numId w:val="1"/>
        </w:numPr>
        <w:autoSpaceDE w:val="0"/>
        <w:autoSpaceDN w:val="0"/>
        <w:adjustRightInd w:val="0"/>
        <w:spacing w:after="240" w:line="276" w:lineRule="auto"/>
        <w:rPr>
          <w:rFonts w:ascii="Avenir Book" w:hAnsi="Avenir Book" w:cs="Times"/>
          <w:sz w:val="20"/>
          <w:szCs w:val="20"/>
          <w:lang w:val="es-ES"/>
        </w:rPr>
      </w:pPr>
      <w:r>
        <w:rPr>
          <w:rFonts w:ascii="Avenir Book" w:hAnsi="Avenir Book" w:cs="Gill Sans"/>
          <w:sz w:val="20"/>
          <w:szCs w:val="20"/>
          <w:lang w:val="es-ES"/>
        </w:rPr>
        <w:t>t</w:t>
      </w:r>
      <w:r w:rsidR="00F44CFC" w:rsidRPr="00813DF6">
        <w:rPr>
          <w:rFonts w:ascii="Avenir Book" w:hAnsi="Avenir Book" w:cs="Gill Sans"/>
          <w:sz w:val="20"/>
          <w:szCs w:val="20"/>
          <w:lang w:val="es-ES"/>
        </w:rPr>
        <w:t>ratamiento con isoniazida</w:t>
      </w:r>
      <w:r w:rsidR="00F44CFC" w:rsidRPr="006E1CBF">
        <w:rPr>
          <w:rFonts w:ascii="Avenir Book" w:hAnsi="Avenir Book" w:cs="Gill Sans"/>
          <w:sz w:val="20"/>
          <w:szCs w:val="20"/>
          <w:lang w:val="es-ES"/>
        </w:rPr>
        <w:t xml:space="preserve"> </w:t>
      </w:r>
      <w:r w:rsidR="00813DF6">
        <w:rPr>
          <w:rFonts w:ascii="Avenir Book" w:hAnsi="Avenir Book" w:cs="Gill Sans"/>
          <w:sz w:val="20"/>
          <w:szCs w:val="20"/>
          <w:lang w:val="es-ES"/>
        </w:rPr>
        <w:t xml:space="preserve">(tuberculosis) en un “acetilador lento”, </w:t>
      </w:r>
      <w:r w:rsidR="00813DF6" w:rsidRPr="006E1CBF">
        <w:rPr>
          <w:rFonts w:ascii="Avenir Book" w:hAnsi="Avenir Book" w:cs="Gill Sans"/>
          <w:sz w:val="20"/>
          <w:szCs w:val="20"/>
          <w:lang w:val="es-ES"/>
        </w:rPr>
        <w:t>carbidopa</w:t>
      </w:r>
      <w:r w:rsidR="00813DF6">
        <w:rPr>
          <w:rFonts w:ascii="Avenir Book" w:hAnsi="Avenir Book" w:cs="Gill Sans"/>
          <w:sz w:val="20"/>
          <w:szCs w:val="20"/>
          <w:lang w:val="es-ES"/>
        </w:rPr>
        <w:t xml:space="preserve"> (Párkinson)</w:t>
      </w:r>
      <w:r w:rsidR="00813DF6" w:rsidRPr="006E1CBF">
        <w:rPr>
          <w:rFonts w:ascii="Avenir Book" w:hAnsi="Avenir Book" w:cs="Gill Sans"/>
          <w:sz w:val="20"/>
          <w:szCs w:val="20"/>
          <w:lang w:val="es-ES"/>
        </w:rPr>
        <w:t xml:space="preserve"> o la benzerazida</w:t>
      </w:r>
      <w:r w:rsidR="00813DF6" w:rsidRPr="00813DF6">
        <w:rPr>
          <w:rFonts w:ascii="Avenir Book" w:hAnsi="Avenir Book" w:cs="Gill Sans"/>
          <w:sz w:val="20"/>
          <w:szCs w:val="20"/>
          <w:lang w:val="es-ES"/>
        </w:rPr>
        <w:t xml:space="preserve"> </w:t>
      </w:r>
      <w:r w:rsidR="00813DF6" w:rsidRPr="00813DF6">
        <w:rPr>
          <w:rFonts w:ascii="Avenir Book" w:hAnsi="Avenir Book" w:cs="Gill Sans"/>
          <w:sz w:val="20"/>
          <w:szCs w:val="20"/>
          <w:lang w:val="es-ES"/>
        </w:rPr>
        <w:sym w:font="Wingdings" w:char="F0E0"/>
      </w:r>
      <w:r w:rsidR="00813DF6">
        <w:rPr>
          <w:rFonts w:ascii="Avenir Book" w:hAnsi="Avenir Book" w:cs="Gill Sans"/>
          <w:sz w:val="20"/>
          <w:szCs w:val="20"/>
          <w:lang w:val="es-ES"/>
        </w:rPr>
        <w:t xml:space="preserve"> e</w:t>
      </w:r>
      <w:r w:rsidR="00F44CFC" w:rsidRPr="006E1CBF">
        <w:rPr>
          <w:rFonts w:ascii="Avenir Book" w:hAnsi="Avenir Book" w:cs="Gill Sans"/>
          <w:sz w:val="20"/>
          <w:szCs w:val="20"/>
          <w:lang w:val="es-ES"/>
        </w:rPr>
        <w:t>stos individuos met</w:t>
      </w:r>
      <w:r w:rsidR="00813DF6">
        <w:rPr>
          <w:rFonts w:ascii="Avenir Book" w:hAnsi="Avenir Book" w:cs="Gill Sans"/>
          <w:sz w:val="20"/>
          <w:szCs w:val="20"/>
          <w:lang w:val="es-ES"/>
        </w:rPr>
        <w:t>abolizan muy poco la isoniazida y</w:t>
      </w:r>
      <w:r w:rsidR="00C23DB2">
        <w:rPr>
          <w:rFonts w:ascii="Avenir Book" w:hAnsi="Avenir Book" w:cs="Gill Sans"/>
          <w:sz w:val="20"/>
          <w:szCs w:val="20"/>
          <w:lang w:val="es-ES"/>
        </w:rPr>
        <w:t xml:space="preserve"> además estos fármacos</w:t>
      </w:r>
      <w:r w:rsidR="00F44CFC" w:rsidRPr="006E1CBF">
        <w:rPr>
          <w:rFonts w:ascii="Avenir Book" w:hAnsi="Avenir Book" w:cs="Gill Sans"/>
          <w:sz w:val="20"/>
          <w:szCs w:val="20"/>
          <w:lang w:val="es-ES"/>
        </w:rPr>
        <w:t xml:space="preserve"> se unen a PLP formando complejos inactivos</w:t>
      </w:r>
      <w:r w:rsidR="00813DF6">
        <w:rPr>
          <w:rFonts w:ascii="Avenir Book" w:hAnsi="Avenir Book" w:cs="Gill Sans"/>
          <w:sz w:val="20"/>
          <w:szCs w:val="20"/>
          <w:lang w:val="es-ES"/>
        </w:rPr>
        <w:t xml:space="preserve"> </w:t>
      </w:r>
      <w:r w:rsidR="00813DF6">
        <w:rPr>
          <w:rFonts w:ascii="Avenir Book" w:hAnsi="Avenir Book" w:cs="Gill Sans"/>
          <w:sz w:val="20"/>
          <w:szCs w:val="20"/>
          <w:lang w:val="es-ES"/>
        </w:rPr>
        <w:fldChar w:fldCharType="begin" w:fldLock="1"/>
      </w:r>
      <w:r w:rsidR="005B136D">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813DF6">
        <w:rPr>
          <w:rFonts w:ascii="Avenir Book" w:hAnsi="Avenir Book" w:cs="Gill Sans"/>
          <w:sz w:val="20"/>
          <w:szCs w:val="20"/>
          <w:lang w:val="es-ES"/>
        </w:rPr>
        <w:fldChar w:fldCharType="separate"/>
      </w:r>
      <w:r w:rsidR="00813DF6" w:rsidRPr="00813DF6">
        <w:rPr>
          <w:rFonts w:ascii="Avenir Book" w:hAnsi="Avenir Book" w:cs="Gill Sans"/>
          <w:noProof/>
          <w:sz w:val="20"/>
          <w:szCs w:val="20"/>
          <w:lang w:val="es-ES"/>
        </w:rPr>
        <w:t>(2)</w:t>
      </w:r>
      <w:r w:rsidR="00813DF6">
        <w:rPr>
          <w:rFonts w:ascii="Avenir Book" w:hAnsi="Avenir Book" w:cs="Gill Sans"/>
          <w:sz w:val="20"/>
          <w:szCs w:val="20"/>
          <w:lang w:val="es-ES"/>
        </w:rPr>
        <w:fldChar w:fldCharType="end"/>
      </w:r>
      <w:r w:rsidR="00F44CFC" w:rsidRPr="006E1CBF">
        <w:rPr>
          <w:rFonts w:ascii="Avenir Book" w:hAnsi="Avenir Book" w:cs="Gill Sans"/>
          <w:sz w:val="20"/>
          <w:szCs w:val="20"/>
          <w:lang w:val="es-ES"/>
        </w:rPr>
        <w:t>.</w:t>
      </w:r>
    </w:p>
    <w:p w14:paraId="2111F123" w14:textId="5692F6B7" w:rsidR="00F44CFC" w:rsidRPr="00061D12" w:rsidRDefault="00962C85" w:rsidP="004E7AB7">
      <w:pPr>
        <w:pStyle w:val="Prrafodelista"/>
        <w:widowControl w:val="0"/>
        <w:numPr>
          <w:ilvl w:val="0"/>
          <w:numId w:val="1"/>
        </w:numPr>
        <w:autoSpaceDE w:val="0"/>
        <w:autoSpaceDN w:val="0"/>
        <w:adjustRightInd w:val="0"/>
        <w:spacing w:after="240" w:line="276" w:lineRule="auto"/>
        <w:rPr>
          <w:rFonts w:ascii="Avenir Book" w:hAnsi="Avenir Book" w:cs="Times"/>
          <w:sz w:val="20"/>
          <w:szCs w:val="20"/>
          <w:lang w:val="es-ES"/>
        </w:rPr>
      </w:pPr>
      <w:r>
        <w:rPr>
          <w:rFonts w:ascii="Avenir Book" w:hAnsi="Avenir Book" w:cs="Gill Sans"/>
          <w:sz w:val="20"/>
          <w:szCs w:val="20"/>
          <w:lang w:val="es-ES"/>
        </w:rPr>
        <w:t>t</w:t>
      </w:r>
      <w:r w:rsidR="00F44CFC" w:rsidRPr="00813DF6">
        <w:rPr>
          <w:rFonts w:ascii="Avenir Book" w:hAnsi="Avenir Book" w:cs="Gill Sans"/>
          <w:sz w:val="20"/>
          <w:szCs w:val="20"/>
          <w:lang w:val="es-ES"/>
        </w:rPr>
        <w:t>ratamiento con anticonceptivos orales a dosis eleva</w:t>
      </w:r>
      <w:r w:rsidR="00813DF6">
        <w:rPr>
          <w:rFonts w:ascii="Avenir Book" w:hAnsi="Avenir Book" w:cs="Gill Sans"/>
          <w:sz w:val="20"/>
          <w:szCs w:val="20"/>
          <w:lang w:val="es-ES"/>
        </w:rPr>
        <w:t xml:space="preserve">das </w:t>
      </w:r>
      <w:r w:rsidR="00813DF6" w:rsidRPr="00813DF6">
        <w:rPr>
          <w:rFonts w:ascii="Avenir Book" w:hAnsi="Avenir Book" w:cs="Gill Sans"/>
          <w:sz w:val="20"/>
          <w:szCs w:val="20"/>
          <w:lang w:val="es-ES"/>
        </w:rPr>
        <w:sym w:font="Wingdings" w:char="F0E0"/>
      </w:r>
      <w:r w:rsidR="00813DF6">
        <w:rPr>
          <w:rFonts w:ascii="Avenir Book" w:hAnsi="Avenir Book" w:cs="Gill Sans"/>
          <w:sz w:val="20"/>
          <w:szCs w:val="20"/>
          <w:lang w:val="es-ES"/>
        </w:rPr>
        <w:t xml:space="preserve"> p</w:t>
      </w:r>
      <w:r w:rsidR="00F44CFC" w:rsidRPr="00813DF6">
        <w:rPr>
          <w:rFonts w:ascii="Avenir Book" w:hAnsi="Avenir Book" w:cs="Gill Sans"/>
          <w:sz w:val="20"/>
          <w:szCs w:val="20"/>
          <w:lang w:val="es-ES"/>
        </w:rPr>
        <w:t>arece que estos fármacos inducen la triptófano oxigenasa, por lo que aumenta</w:t>
      </w:r>
      <w:r w:rsidR="00C23DB2">
        <w:rPr>
          <w:rFonts w:ascii="Avenir Book" w:hAnsi="Avenir Book" w:cs="Gill Sans"/>
          <w:sz w:val="20"/>
          <w:szCs w:val="20"/>
          <w:lang w:val="es-ES"/>
        </w:rPr>
        <w:t>n</w:t>
      </w:r>
      <w:r w:rsidR="00F44CFC" w:rsidRPr="00813DF6">
        <w:rPr>
          <w:rFonts w:ascii="Avenir Book" w:hAnsi="Avenir Book" w:cs="Gill Sans"/>
          <w:sz w:val="20"/>
          <w:szCs w:val="20"/>
          <w:lang w:val="es-ES"/>
        </w:rPr>
        <w:t xml:space="preserve"> el flujo de degradación del triptófano</w:t>
      </w:r>
      <w:r w:rsidR="00C23DB2">
        <w:rPr>
          <w:rFonts w:ascii="Avenir Book" w:hAnsi="Avenir Book" w:cs="Gill Sans"/>
          <w:sz w:val="20"/>
          <w:szCs w:val="20"/>
          <w:lang w:val="es-ES"/>
        </w:rPr>
        <w:t xml:space="preserve"> por la vía de la cinureninasa </w:t>
      </w:r>
      <w:r w:rsidR="00F44CFC" w:rsidRPr="00813DF6">
        <w:rPr>
          <w:rFonts w:ascii="Avenir Book" w:hAnsi="Avenir Book" w:cs="Gill Sans"/>
          <w:sz w:val="20"/>
          <w:szCs w:val="20"/>
          <w:lang w:val="es-ES"/>
        </w:rPr>
        <w:t>con gasto excesivo de su coenzima, el PLP</w:t>
      </w:r>
      <w:r w:rsidR="00813DF6">
        <w:rPr>
          <w:rFonts w:ascii="Avenir Book" w:hAnsi="Avenir Book" w:cs="Gill Sans"/>
          <w:sz w:val="20"/>
          <w:szCs w:val="20"/>
          <w:lang w:val="es-ES"/>
        </w:rPr>
        <w:t xml:space="preserve"> </w:t>
      </w:r>
      <w:r w:rsidR="00813DF6">
        <w:rPr>
          <w:rFonts w:ascii="Avenir Book" w:hAnsi="Avenir Book" w:cs="Gill Sans"/>
          <w:sz w:val="20"/>
          <w:szCs w:val="20"/>
          <w:lang w:val="es-ES"/>
        </w:rPr>
        <w:fldChar w:fldCharType="begin" w:fldLock="1"/>
      </w:r>
      <w:r w:rsidR="00813DF6">
        <w:rPr>
          <w:rFonts w:ascii="Avenir Book" w:hAnsi="Avenir Book" w:cs="Gill San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813DF6">
        <w:rPr>
          <w:rFonts w:ascii="Avenir Book" w:hAnsi="Avenir Book" w:cs="Gill Sans"/>
          <w:sz w:val="20"/>
          <w:szCs w:val="20"/>
          <w:lang w:val="es-ES"/>
        </w:rPr>
        <w:fldChar w:fldCharType="separate"/>
      </w:r>
      <w:r w:rsidR="00813DF6" w:rsidRPr="00813DF6">
        <w:rPr>
          <w:rFonts w:ascii="Avenir Book" w:hAnsi="Avenir Book" w:cs="Gill Sans"/>
          <w:noProof/>
          <w:sz w:val="20"/>
          <w:szCs w:val="20"/>
          <w:lang w:val="es-ES"/>
        </w:rPr>
        <w:t>(2)</w:t>
      </w:r>
      <w:r w:rsidR="00813DF6">
        <w:rPr>
          <w:rFonts w:ascii="Avenir Book" w:hAnsi="Avenir Book" w:cs="Gill Sans"/>
          <w:sz w:val="20"/>
          <w:szCs w:val="20"/>
          <w:lang w:val="es-ES"/>
        </w:rPr>
        <w:fldChar w:fldCharType="end"/>
      </w:r>
      <w:r w:rsidR="00F44CFC" w:rsidRPr="00813DF6">
        <w:rPr>
          <w:rFonts w:ascii="Avenir Book" w:hAnsi="Avenir Book" w:cs="Gill Sans"/>
          <w:sz w:val="20"/>
          <w:szCs w:val="20"/>
          <w:lang w:val="es-ES"/>
        </w:rPr>
        <w:t>.</w:t>
      </w:r>
    </w:p>
    <w:p w14:paraId="02D1FAEE" w14:textId="77777777" w:rsidR="00061D12" w:rsidRDefault="00061D12" w:rsidP="00061D12">
      <w:pPr>
        <w:widowControl w:val="0"/>
        <w:autoSpaceDE w:val="0"/>
        <w:autoSpaceDN w:val="0"/>
        <w:adjustRightInd w:val="0"/>
        <w:spacing w:after="240" w:line="276" w:lineRule="auto"/>
        <w:rPr>
          <w:rFonts w:ascii="Avenir Book" w:hAnsi="Avenir Book" w:cs="Times"/>
          <w:sz w:val="20"/>
          <w:szCs w:val="20"/>
          <w:lang w:val="es-ES"/>
        </w:rPr>
      </w:pPr>
    </w:p>
    <w:p w14:paraId="003FF62C" w14:textId="77777777" w:rsidR="00061D12" w:rsidRDefault="00061D12" w:rsidP="00061D12">
      <w:pPr>
        <w:widowControl w:val="0"/>
        <w:autoSpaceDE w:val="0"/>
        <w:autoSpaceDN w:val="0"/>
        <w:adjustRightInd w:val="0"/>
        <w:spacing w:after="240" w:line="276" w:lineRule="auto"/>
        <w:rPr>
          <w:rFonts w:ascii="Avenir Book" w:hAnsi="Avenir Book" w:cs="Times"/>
          <w:sz w:val="20"/>
          <w:szCs w:val="20"/>
          <w:lang w:val="es-ES"/>
        </w:rPr>
      </w:pPr>
    </w:p>
    <w:p w14:paraId="30D3AFC1" w14:textId="77777777" w:rsidR="00061D12" w:rsidRPr="00061D12" w:rsidRDefault="00061D12" w:rsidP="00061D12">
      <w:pPr>
        <w:widowControl w:val="0"/>
        <w:autoSpaceDE w:val="0"/>
        <w:autoSpaceDN w:val="0"/>
        <w:adjustRightInd w:val="0"/>
        <w:spacing w:after="240" w:line="276" w:lineRule="auto"/>
        <w:rPr>
          <w:rFonts w:ascii="Avenir Book" w:hAnsi="Avenir Book" w:cs="Times"/>
          <w:sz w:val="20"/>
          <w:szCs w:val="20"/>
          <w:lang w:val="es-ES"/>
        </w:rPr>
      </w:pPr>
    </w:p>
    <w:p w14:paraId="485C9D76" w14:textId="77777777" w:rsidR="00F44CFC" w:rsidRPr="00F44CFC" w:rsidRDefault="00F44CFC" w:rsidP="004E7AB7">
      <w:pPr>
        <w:spacing w:line="276" w:lineRule="auto"/>
        <w:rPr>
          <w:rFonts w:ascii="Avenir Book" w:hAnsi="Avenir Book" w:cs="Arial"/>
          <w:b/>
          <w:color w:val="4F81BD" w:themeColor="accent1"/>
          <w:sz w:val="20"/>
          <w:szCs w:val="20"/>
        </w:rPr>
      </w:pPr>
      <w:r w:rsidRPr="00170D09">
        <w:rPr>
          <w:rFonts w:ascii="Avenir Book" w:hAnsi="Avenir Book" w:cs="Arial"/>
          <w:b/>
          <w:color w:val="4F81BD" w:themeColor="accent1"/>
          <w:sz w:val="20"/>
          <w:szCs w:val="20"/>
        </w:rPr>
        <w:t>2. Diagnóstico de una deficiencia</w:t>
      </w:r>
    </w:p>
    <w:p w14:paraId="5CA58001" w14:textId="0695FBE6" w:rsidR="00E632A8" w:rsidRPr="004E7036" w:rsidRDefault="00E632A8" w:rsidP="00E632A8">
      <w:pPr>
        <w:pStyle w:val="Prrafodelista"/>
        <w:numPr>
          <w:ilvl w:val="0"/>
          <w:numId w:val="1"/>
        </w:numPr>
        <w:spacing w:line="276" w:lineRule="auto"/>
        <w:rPr>
          <w:rFonts w:ascii="Avenir Book" w:hAnsi="Avenir Book"/>
          <w:sz w:val="20"/>
          <w:szCs w:val="20"/>
        </w:rPr>
      </w:pPr>
      <w:r>
        <w:rPr>
          <w:rFonts w:ascii="Avenir Book" w:hAnsi="Avenir Book"/>
          <w:sz w:val="20"/>
          <w:szCs w:val="20"/>
        </w:rPr>
        <w:t>Niveles de</w:t>
      </w:r>
      <w:r w:rsidRPr="003067E0">
        <w:rPr>
          <w:rFonts w:ascii="Avenir Book" w:hAnsi="Avenir Book"/>
          <w:sz w:val="20"/>
          <w:szCs w:val="20"/>
        </w:rPr>
        <w:t xml:space="preserve"> </w:t>
      </w:r>
      <w:r>
        <w:rPr>
          <w:rFonts w:ascii="Avenir Book" w:hAnsi="Avenir Book"/>
          <w:sz w:val="20"/>
          <w:szCs w:val="20"/>
        </w:rPr>
        <w:t>fosfato-5 piridoxal</w:t>
      </w:r>
      <w:r w:rsidRPr="003067E0">
        <w:rPr>
          <w:rFonts w:ascii="Avenir Book" w:hAnsi="Avenir Book"/>
          <w:sz w:val="20"/>
          <w:szCs w:val="20"/>
        </w:rPr>
        <w:t xml:space="preserve"> </w:t>
      </w:r>
      <w:r>
        <w:rPr>
          <w:rFonts w:ascii="Avenir Book" w:hAnsi="Avenir Book"/>
          <w:sz w:val="20"/>
          <w:szCs w:val="20"/>
        </w:rPr>
        <w:t xml:space="preserve">(PLP) </w:t>
      </w:r>
      <w:r w:rsidRPr="003067E0">
        <w:rPr>
          <w:rFonts w:ascii="Avenir Book" w:hAnsi="Avenir Book"/>
          <w:sz w:val="20"/>
          <w:szCs w:val="20"/>
        </w:rPr>
        <w:t>en plasma</w:t>
      </w:r>
      <w:r>
        <w:rPr>
          <w:rFonts w:ascii="Avenir Book" w:hAnsi="Avenir Book"/>
          <w:sz w:val="20"/>
          <w:szCs w:val="20"/>
        </w:rPr>
        <w:t xml:space="preserve"> </w:t>
      </w:r>
      <w:r>
        <w:rPr>
          <w:rFonts w:ascii="Avenir Book" w:hAnsi="Avenir Book"/>
          <w:sz w:val="20"/>
          <w:szCs w:val="20"/>
        </w:rPr>
        <w:fldChar w:fldCharType="begin" w:fldLock="1"/>
      </w:r>
      <w:r w:rsidR="005473EA">
        <w:rPr>
          <w:rFonts w:ascii="Avenir Book" w:hAnsi="Avenir Book"/>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Pr>
          <w:rFonts w:ascii="Avenir Book" w:hAnsi="Avenir Book"/>
          <w:sz w:val="20"/>
          <w:szCs w:val="20"/>
        </w:rPr>
        <w:fldChar w:fldCharType="separate"/>
      </w:r>
      <w:r w:rsidRPr="00E632A8">
        <w:rPr>
          <w:rFonts w:ascii="Avenir Book" w:hAnsi="Avenir Book"/>
          <w:noProof/>
          <w:sz w:val="20"/>
          <w:szCs w:val="20"/>
        </w:rPr>
        <w:t>(1)</w:t>
      </w:r>
      <w:r>
        <w:rPr>
          <w:rFonts w:ascii="Avenir Book" w:hAnsi="Avenir Book"/>
          <w:sz w:val="20"/>
          <w:szCs w:val="20"/>
        </w:rPr>
        <w:fldChar w:fldCharType="end"/>
      </w:r>
      <w:r>
        <w:rPr>
          <w:rFonts w:ascii="Avenir Book" w:hAnsi="Avenir Book"/>
          <w:sz w:val="20"/>
          <w:szCs w:val="20"/>
        </w:rPr>
        <w:t xml:space="preserve">  </w:t>
      </w:r>
      <w:r w:rsidRPr="003067E0">
        <w:rPr>
          <w:rFonts w:ascii="Avenir Book" w:hAnsi="Avenir Book"/>
          <w:sz w:val="20"/>
          <w:szCs w:val="20"/>
        </w:rPr>
        <w:t xml:space="preserve"> </w:t>
      </w:r>
    </w:p>
    <w:p w14:paraId="36353A68" w14:textId="5F0FA2D2" w:rsidR="00E632A8" w:rsidRDefault="00E632A8" w:rsidP="00E632A8">
      <w:pPr>
        <w:spacing w:line="276" w:lineRule="auto"/>
        <w:ind w:left="360"/>
        <w:rPr>
          <w:rFonts w:ascii="Avenir Book" w:hAnsi="Avenir Book"/>
          <w:sz w:val="20"/>
          <w:szCs w:val="20"/>
        </w:rPr>
      </w:pPr>
      <w:r>
        <w:rPr>
          <w:rFonts w:ascii="Avenir Book" w:hAnsi="Avenir Book"/>
          <w:sz w:val="20"/>
          <w:szCs w:val="20"/>
        </w:rPr>
        <w:t>Los niveles plasmáticos de PLP son un bioindicador de la ingesta y de los niveles en el cuerpo de vitamina B6.  Hay que tener presente que la concentración de PLP dismiuye con la edad, durante el embarazo y en condiciones inflamatoria</w:t>
      </w:r>
      <w:r w:rsidR="00C23DB2">
        <w:rPr>
          <w:rFonts w:ascii="Avenir Book" w:hAnsi="Avenir Book"/>
          <w:sz w:val="20"/>
          <w:szCs w:val="20"/>
        </w:rPr>
        <w:t>s</w:t>
      </w:r>
      <w:r>
        <w:rPr>
          <w:rFonts w:ascii="Avenir Book" w:hAnsi="Avenir Book"/>
          <w:sz w:val="20"/>
          <w:szCs w:val="20"/>
        </w:rPr>
        <w:t>.</w:t>
      </w:r>
      <w:r>
        <w:rPr>
          <w:rFonts w:ascii="Avenir Book" w:hAnsi="Avenir Book"/>
          <w:sz w:val="20"/>
          <w:szCs w:val="20"/>
        </w:rPr>
        <w:tab/>
      </w:r>
    </w:p>
    <w:p w14:paraId="19DA4238" w14:textId="5453BB11" w:rsidR="00DE5F1C" w:rsidRDefault="00DE5F1C" w:rsidP="00E632A8">
      <w:pPr>
        <w:spacing w:line="276" w:lineRule="auto"/>
        <w:ind w:left="360"/>
        <w:rPr>
          <w:rFonts w:ascii="Avenir Book" w:hAnsi="Avenir Book"/>
          <w:sz w:val="20"/>
          <w:szCs w:val="20"/>
        </w:rPr>
      </w:pPr>
      <w:r>
        <w:rPr>
          <w:rFonts w:ascii="Avenir Book" w:hAnsi="Avenir Book"/>
          <w:sz w:val="20"/>
          <w:szCs w:val="20"/>
        </w:rPr>
        <w:tab/>
      </w:r>
      <w:r w:rsidR="00E632A8">
        <w:rPr>
          <w:rFonts w:ascii="Avenir Book" w:hAnsi="Avenir Book"/>
          <w:sz w:val="20"/>
          <w:szCs w:val="20"/>
        </w:rPr>
        <w:t xml:space="preserve">Valor de referencia: </w:t>
      </w:r>
    </w:p>
    <w:p w14:paraId="542C8DB0" w14:textId="446AE804" w:rsidR="00E632A8" w:rsidRDefault="00DE5F1C" w:rsidP="00E632A8">
      <w:pPr>
        <w:spacing w:line="276" w:lineRule="auto"/>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r>
      <w:r w:rsidR="00E632A8">
        <w:rPr>
          <w:rFonts w:ascii="Avenir Book" w:hAnsi="Avenir Book"/>
          <w:sz w:val="20"/>
          <w:szCs w:val="20"/>
        </w:rPr>
        <w:t xml:space="preserve">niveles medios de 30 nmol PLP/L </w:t>
      </w:r>
      <w:r w:rsidR="00E632A8" w:rsidRPr="008724C9">
        <w:rPr>
          <w:rFonts w:ascii="Avenir Book" w:hAnsi="Avenir Book"/>
          <w:sz w:val="20"/>
          <w:szCs w:val="20"/>
        </w:rPr>
        <w:sym w:font="Wingdings" w:char="F0E0"/>
      </w:r>
      <w:r w:rsidR="00E632A8">
        <w:rPr>
          <w:rFonts w:ascii="Avenir Book" w:hAnsi="Avenir Book"/>
          <w:sz w:val="20"/>
          <w:szCs w:val="20"/>
        </w:rPr>
        <w:t xml:space="preserve"> </w:t>
      </w:r>
      <w:r w:rsidR="005473EA">
        <w:rPr>
          <w:rFonts w:ascii="Avenir Book" w:hAnsi="Avenir Book"/>
          <w:sz w:val="20"/>
          <w:szCs w:val="20"/>
        </w:rPr>
        <w:t xml:space="preserve">niveles adecuados de vitamina B6 en adultos y niños </w:t>
      </w:r>
      <w:r w:rsidR="005473EA">
        <w:rPr>
          <w:rFonts w:ascii="Avenir Book" w:hAnsi="Avenir Book"/>
          <w:sz w:val="20"/>
          <w:szCs w:val="20"/>
        </w:rPr>
        <w:fldChar w:fldCharType="begin" w:fldLock="1"/>
      </w:r>
      <w:r w:rsidR="005473EA">
        <w:rPr>
          <w:rFonts w:ascii="Avenir Book" w:hAnsi="Avenir Book"/>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sidR="005473EA">
        <w:rPr>
          <w:rFonts w:ascii="Avenir Book" w:hAnsi="Avenir Book"/>
          <w:sz w:val="20"/>
          <w:szCs w:val="20"/>
        </w:rPr>
        <w:fldChar w:fldCharType="separate"/>
      </w:r>
      <w:r w:rsidR="005473EA" w:rsidRPr="005473EA">
        <w:rPr>
          <w:rFonts w:ascii="Avenir Book" w:hAnsi="Avenir Book"/>
          <w:noProof/>
          <w:sz w:val="20"/>
          <w:szCs w:val="20"/>
        </w:rPr>
        <w:t>(1)</w:t>
      </w:r>
      <w:r w:rsidR="005473EA">
        <w:rPr>
          <w:rFonts w:ascii="Avenir Book" w:hAnsi="Avenir Book"/>
          <w:sz w:val="20"/>
          <w:szCs w:val="20"/>
        </w:rPr>
        <w:fldChar w:fldCharType="end"/>
      </w:r>
      <w:r w:rsidR="005473EA">
        <w:rPr>
          <w:rFonts w:ascii="Avenir Book" w:hAnsi="Avenir Book"/>
          <w:sz w:val="20"/>
          <w:szCs w:val="20"/>
        </w:rPr>
        <w:t>.</w:t>
      </w:r>
    </w:p>
    <w:p w14:paraId="4F6FAAD6" w14:textId="5B74AACD" w:rsidR="005473EA" w:rsidRDefault="005473EA" w:rsidP="005473EA">
      <w:pPr>
        <w:spacing w:line="276" w:lineRule="auto"/>
        <w:ind w:left="360"/>
        <w:rPr>
          <w:rFonts w:ascii="Avenir Book" w:hAnsi="Avenir Book"/>
          <w:sz w:val="20"/>
          <w:szCs w:val="20"/>
        </w:rPr>
      </w:pPr>
      <w:r>
        <w:rPr>
          <w:rFonts w:ascii="Avenir Book" w:hAnsi="Avenir Book"/>
          <w:sz w:val="20"/>
          <w:szCs w:val="20"/>
        </w:rPr>
        <w:tab/>
      </w:r>
      <w:r>
        <w:rPr>
          <w:rFonts w:ascii="Avenir Book" w:hAnsi="Avenir Book"/>
          <w:sz w:val="20"/>
          <w:szCs w:val="20"/>
        </w:rPr>
        <w:tab/>
      </w:r>
      <w:r>
        <w:rPr>
          <w:rFonts w:ascii="Avenir Book" w:hAnsi="Avenir Book"/>
          <w:sz w:val="20"/>
          <w:szCs w:val="20"/>
        </w:rPr>
        <w:tab/>
        <w:t xml:space="preserve">niveles inferiores a 30 nmol PLP/L </w:t>
      </w:r>
      <w:r w:rsidRPr="008724C9">
        <w:rPr>
          <w:rFonts w:ascii="Avenir Book" w:hAnsi="Avenir Book"/>
          <w:sz w:val="20"/>
          <w:szCs w:val="20"/>
        </w:rPr>
        <w:sym w:font="Wingdings" w:char="F0E0"/>
      </w:r>
      <w:r>
        <w:rPr>
          <w:rFonts w:ascii="Avenir Book" w:hAnsi="Avenir Book"/>
          <w:sz w:val="20"/>
          <w:szCs w:val="20"/>
        </w:rPr>
        <w:t xml:space="preserve"> niveles asociados con un amplio rango de efectos metabólicos incluiendo: alteraciones de aa, lípidos y de los niveles de ácidos orgánicos en plasma </w:t>
      </w:r>
      <w:r>
        <w:rPr>
          <w:rFonts w:ascii="Avenir Book" w:hAnsi="Avenir Book"/>
          <w:sz w:val="20"/>
          <w:szCs w:val="20"/>
        </w:rPr>
        <w:fldChar w:fldCharType="begin" w:fldLock="1"/>
      </w:r>
      <w:r w:rsidR="00486020">
        <w:rPr>
          <w:rFonts w:ascii="Avenir Book" w:hAnsi="Avenir Book"/>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Pr>
          <w:rFonts w:ascii="Avenir Book" w:hAnsi="Avenir Book"/>
          <w:sz w:val="20"/>
          <w:szCs w:val="20"/>
        </w:rPr>
        <w:fldChar w:fldCharType="separate"/>
      </w:r>
      <w:r w:rsidRPr="005473EA">
        <w:rPr>
          <w:rFonts w:ascii="Avenir Book" w:hAnsi="Avenir Book"/>
          <w:noProof/>
          <w:sz w:val="20"/>
          <w:szCs w:val="20"/>
        </w:rPr>
        <w:t>(1)</w:t>
      </w:r>
      <w:r>
        <w:rPr>
          <w:rFonts w:ascii="Avenir Book" w:hAnsi="Avenir Book"/>
          <w:sz w:val="20"/>
          <w:szCs w:val="20"/>
        </w:rPr>
        <w:fldChar w:fldCharType="end"/>
      </w:r>
      <w:r>
        <w:rPr>
          <w:rFonts w:ascii="Avenir Book" w:hAnsi="Avenir Book"/>
          <w:sz w:val="20"/>
          <w:szCs w:val="20"/>
        </w:rPr>
        <w:t xml:space="preserve">. </w:t>
      </w:r>
    </w:p>
    <w:p w14:paraId="573AC838" w14:textId="77777777" w:rsidR="00E632A8" w:rsidRPr="008724C9" w:rsidRDefault="00E632A8" w:rsidP="00E632A8">
      <w:pPr>
        <w:spacing w:line="276" w:lineRule="auto"/>
        <w:ind w:left="360"/>
        <w:rPr>
          <w:rFonts w:ascii="Avenir Book" w:hAnsi="Avenir Book"/>
          <w:sz w:val="20"/>
          <w:szCs w:val="20"/>
        </w:rPr>
      </w:pPr>
    </w:p>
    <w:p w14:paraId="5209B32C" w14:textId="7E643FA5" w:rsidR="004E7AB7" w:rsidRDefault="00486020" w:rsidP="004E7AB7">
      <w:pPr>
        <w:pStyle w:val="Prrafodelista"/>
        <w:numPr>
          <w:ilvl w:val="0"/>
          <w:numId w:val="1"/>
        </w:numPr>
        <w:spacing w:line="276" w:lineRule="auto"/>
        <w:rPr>
          <w:rFonts w:ascii="Avenir Book" w:hAnsi="Avenir Book"/>
          <w:sz w:val="20"/>
          <w:szCs w:val="20"/>
        </w:rPr>
      </w:pPr>
      <w:r>
        <w:rPr>
          <w:rFonts w:ascii="Avenir Book" w:hAnsi="Avenir Book"/>
          <w:sz w:val="20"/>
          <w:szCs w:val="20"/>
        </w:rPr>
        <w:t>E</w:t>
      </w:r>
      <w:r w:rsidR="004E7AB7" w:rsidRPr="003067E0">
        <w:rPr>
          <w:rFonts w:ascii="Avenir Book" w:hAnsi="Avenir Book"/>
          <w:sz w:val="20"/>
          <w:szCs w:val="20"/>
        </w:rPr>
        <w:t>xcreción</w:t>
      </w:r>
      <w:r>
        <w:rPr>
          <w:rFonts w:ascii="Avenir Book" w:hAnsi="Avenir Book"/>
          <w:sz w:val="20"/>
          <w:szCs w:val="20"/>
        </w:rPr>
        <w:t xml:space="preserve"> de</w:t>
      </w:r>
      <w:r w:rsidR="004E7AB7" w:rsidRPr="003067E0">
        <w:rPr>
          <w:rFonts w:ascii="Avenir Book" w:hAnsi="Avenir Book"/>
          <w:sz w:val="20"/>
          <w:szCs w:val="20"/>
        </w:rPr>
        <w:t xml:space="preserve"> </w:t>
      </w:r>
      <w:r w:rsidR="004E7AB7">
        <w:rPr>
          <w:rFonts w:ascii="Avenir Book" w:hAnsi="Avenir Book"/>
          <w:sz w:val="20"/>
          <w:szCs w:val="20"/>
        </w:rPr>
        <w:t>Ácido-4-piridóxico</w:t>
      </w:r>
      <w:r>
        <w:rPr>
          <w:rFonts w:ascii="Avenir Book" w:hAnsi="Avenir Book"/>
          <w:sz w:val="20"/>
          <w:szCs w:val="20"/>
        </w:rPr>
        <w:t xml:space="preserve"> (4-PA) y vitamina B6 total</w:t>
      </w:r>
      <w:r w:rsidR="004E7AB7" w:rsidRPr="003067E0">
        <w:rPr>
          <w:rFonts w:ascii="Avenir Book" w:hAnsi="Avenir Book"/>
          <w:sz w:val="20"/>
          <w:szCs w:val="20"/>
          <w:vertAlign w:val="subscript"/>
        </w:rPr>
        <w:t xml:space="preserve"> </w:t>
      </w:r>
      <w:r w:rsidR="004E7AB7" w:rsidRPr="003067E0">
        <w:rPr>
          <w:rFonts w:ascii="Avenir Book" w:hAnsi="Avenir Book"/>
          <w:sz w:val="20"/>
          <w:szCs w:val="20"/>
        </w:rPr>
        <w:t>en orina</w:t>
      </w:r>
      <w:r w:rsidR="00564088">
        <w:rPr>
          <w:rFonts w:ascii="Avenir Book" w:hAnsi="Avenir Book"/>
          <w:sz w:val="20"/>
          <w:szCs w:val="20"/>
        </w:rPr>
        <w:t xml:space="preserve"> </w:t>
      </w:r>
      <w:r w:rsidR="00564088">
        <w:rPr>
          <w:rFonts w:ascii="Avenir Book" w:hAnsi="Avenir Book"/>
          <w:sz w:val="20"/>
          <w:szCs w:val="20"/>
        </w:rPr>
        <w:fldChar w:fldCharType="begin" w:fldLock="1"/>
      </w:r>
      <w:r w:rsidR="00DE5F1C">
        <w:rPr>
          <w:rFonts w:ascii="Avenir Book" w:hAnsi="Avenir Book"/>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sidR="00564088">
        <w:rPr>
          <w:rFonts w:ascii="Avenir Book" w:hAnsi="Avenir Book"/>
          <w:sz w:val="20"/>
          <w:szCs w:val="20"/>
        </w:rPr>
        <w:fldChar w:fldCharType="separate"/>
      </w:r>
      <w:r w:rsidR="00564088" w:rsidRPr="00564088">
        <w:rPr>
          <w:rFonts w:ascii="Avenir Book" w:hAnsi="Avenir Book"/>
          <w:noProof/>
          <w:sz w:val="20"/>
          <w:szCs w:val="20"/>
        </w:rPr>
        <w:t>(1)</w:t>
      </w:r>
      <w:r w:rsidR="00564088">
        <w:rPr>
          <w:rFonts w:ascii="Avenir Book" w:hAnsi="Avenir Book"/>
          <w:sz w:val="20"/>
          <w:szCs w:val="20"/>
        </w:rPr>
        <w:fldChar w:fldCharType="end"/>
      </w:r>
      <w:r w:rsidR="00564088">
        <w:rPr>
          <w:rFonts w:ascii="Avenir Book" w:hAnsi="Avenir Book"/>
          <w:sz w:val="20"/>
          <w:szCs w:val="20"/>
        </w:rPr>
        <w:t>.</w:t>
      </w:r>
      <w:r w:rsidR="004E7AB7" w:rsidRPr="003067E0">
        <w:rPr>
          <w:rFonts w:ascii="Avenir Book" w:hAnsi="Avenir Book"/>
          <w:sz w:val="20"/>
          <w:szCs w:val="20"/>
        </w:rPr>
        <w:t xml:space="preserve"> </w:t>
      </w:r>
    </w:p>
    <w:p w14:paraId="4330E74B" w14:textId="63F2BE27" w:rsidR="00486020" w:rsidRDefault="00486020" w:rsidP="004E7AB7">
      <w:pPr>
        <w:spacing w:line="276" w:lineRule="auto"/>
        <w:ind w:left="360"/>
        <w:rPr>
          <w:rFonts w:ascii="Avenir Book" w:hAnsi="Avenir Book"/>
          <w:sz w:val="20"/>
          <w:szCs w:val="20"/>
        </w:rPr>
      </w:pPr>
      <w:r>
        <w:rPr>
          <w:rFonts w:ascii="Avenir Book" w:hAnsi="Avenir Book"/>
          <w:sz w:val="20"/>
          <w:szCs w:val="20"/>
        </w:rPr>
        <w:t xml:space="preserve">Los niveles de este metabolito y de la vitamina B6 en orina son un buen bioindicador de la ingesta reciente de vitamina B6 (de los últimos 5-7 días), pero no del estado de la vitamina en el cuerpo, no existen criterios ampliamente aceptados sobre su interpretación </w:t>
      </w:r>
      <w:r>
        <w:rPr>
          <w:rFonts w:ascii="Avenir Book" w:hAnsi="Avenir Book"/>
          <w:sz w:val="20"/>
          <w:szCs w:val="20"/>
        </w:rPr>
        <w:fldChar w:fldCharType="begin" w:fldLock="1"/>
      </w:r>
      <w:r w:rsidR="00564088">
        <w:rPr>
          <w:rFonts w:ascii="Avenir Book" w:hAnsi="Avenir Book"/>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Pr>
          <w:rFonts w:ascii="Avenir Book" w:hAnsi="Avenir Book"/>
          <w:sz w:val="20"/>
          <w:szCs w:val="20"/>
        </w:rPr>
        <w:fldChar w:fldCharType="separate"/>
      </w:r>
      <w:r w:rsidRPr="00486020">
        <w:rPr>
          <w:rFonts w:ascii="Avenir Book" w:hAnsi="Avenir Book"/>
          <w:noProof/>
          <w:sz w:val="20"/>
          <w:szCs w:val="20"/>
        </w:rPr>
        <w:t>(1)</w:t>
      </w:r>
      <w:r>
        <w:rPr>
          <w:rFonts w:ascii="Avenir Book" w:hAnsi="Avenir Book"/>
          <w:sz w:val="20"/>
          <w:szCs w:val="20"/>
        </w:rPr>
        <w:fldChar w:fldCharType="end"/>
      </w:r>
      <w:r>
        <w:rPr>
          <w:rFonts w:ascii="Avenir Book" w:hAnsi="Avenir Book"/>
          <w:sz w:val="20"/>
          <w:szCs w:val="20"/>
        </w:rPr>
        <w:t>.</w:t>
      </w:r>
    </w:p>
    <w:p w14:paraId="71BB7436" w14:textId="77777777" w:rsidR="004E7AB7" w:rsidRDefault="004E7AB7" w:rsidP="007419DE">
      <w:pPr>
        <w:contextualSpacing/>
        <w:rPr>
          <w:rFonts w:ascii="Avenir Book" w:hAnsi="Avenir Book" w:cs="Arial"/>
          <w:b/>
          <w:sz w:val="20"/>
          <w:szCs w:val="20"/>
        </w:rPr>
      </w:pPr>
    </w:p>
    <w:p w14:paraId="50FD6E6E" w14:textId="41E43FE9" w:rsidR="004E7AB7" w:rsidRPr="00F44CFC" w:rsidRDefault="00F44CFC" w:rsidP="007419DE">
      <w:pPr>
        <w:widowControl w:val="0"/>
        <w:autoSpaceDE w:val="0"/>
        <w:autoSpaceDN w:val="0"/>
        <w:adjustRightInd w:val="0"/>
        <w:spacing w:after="240" w:line="276" w:lineRule="auto"/>
        <w:contextualSpacing/>
        <w:rPr>
          <w:rFonts w:ascii="Avenir Book" w:hAnsi="Avenir Book" w:cs="Times"/>
          <w:sz w:val="20"/>
          <w:szCs w:val="20"/>
          <w:lang w:val="es-ES"/>
        </w:rPr>
      </w:pPr>
      <w:r w:rsidRPr="00F44CFC">
        <w:rPr>
          <w:rFonts w:ascii="Avenir Book" w:hAnsi="Avenir Book" w:cs="Arial"/>
          <w:b/>
          <w:color w:val="4F81BD" w:themeColor="accent1"/>
          <w:sz w:val="20"/>
          <w:szCs w:val="20"/>
        </w:rPr>
        <w:t>3. Requerimientos y límite de toleranci</w:t>
      </w:r>
      <w:r>
        <w:rPr>
          <w:rFonts w:ascii="Avenir Book" w:hAnsi="Avenir Book" w:cs="Arial"/>
          <w:b/>
          <w:color w:val="4F81BD" w:themeColor="accent1"/>
          <w:sz w:val="20"/>
          <w:szCs w:val="20"/>
        </w:rPr>
        <w:t>a</w:t>
      </w:r>
    </w:p>
    <w:tbl>
      <w:tblPr>
        <w:tblStyle w:val="Tablaconcuadrcula"/>
        <w:tblpPr w:leftFromText="141" w:rightFromText="141" w:vertAnchor="text" w:horzAnchor="page" w:tblpX="2530" w:tblpY="408"/>
        <w:tblW w:w="0" w:type="auto"/>
        <w:tblLook w:val="04A0" w:firstRow="1" w:lastRow="0" w:firstColumn="1" w:lastColumn="0" w:noHBand="0" w:noVBand="1"/>
      </w:tblPr>
      <w:tblGrid>
        <w:gridCol w:w="1235"/>
        <w:gridCol w:w="494"/>
        <w:gridCol w:w="1202"/>
        <w:gridCol w:w="494"/>
        <w:gridCol w:w="1202"/>
        <w:gridCol w:w="494"/>
      </w:tblGrid>
      <w:tr w:rsidR="004E7AB7" w:rsidRPr="003067E0" w14:paraId="550DD41D" w14:textId="77777777" w:rsidTr="005B7C0A">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258259AA"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Infancia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14B69139"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Varones (mg)</w:t>
            </w:r>
          </w:p>
        </w:tc>
        <w:tc>
          <w:tcPr>
            <w:tcW w:w="0" w:type="auto"/>
            <w:gridSpan w:val="2"/>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tcPr>
          <w:p w14:paraId="3AEDEF9B"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Mujeres (mg)</w:t>
            </w:r>
          </w:p>
        </w:tc>
      </w:tr>
      <w:tr w:rsidR="004E7AB7" w:rsidRPr="003067E0" w14:paraId="4DDB4B0E" w14:textId="77777777" w:rsidTr="005B7C0A">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E8F4F54"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0-6 meses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AE3077C"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0,2</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2A2DBD6"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1CD89F00"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,2</w:t>
            </w:r>
          </w:p>
        </w:tc>
        <w:tc>
          <w:tcPr>
            <w:tcW w:w="0" w:type="auto"/>
            <w:tcBorders>
              <w:top w:val="single" w:sz="18"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3D5878F3"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10-13 años</w:t>
            </w:r>
          </w:p>
        </w:tc>
        <w:tc>
          <w:tcPr>
            <w:tcW w:w="0" w:type="auto"/>
            <w:tcBorders>
              <w:top w:val="single" w:sz="18"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0624D3BA"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1,1</w:t>
            </w:r>
          </w:p>
        </w:tc>
      </w:tr>
      <w:tr w:rsidR="004E7AB7" w:rsidRPr="003067E0" w14:paraId="4148CDB7" w14:textId="77777777" w:rsidTr="005B7C0A">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70DB32AC"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7-12 meses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433E17A"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0,4</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755DDBDC"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2CC87F42"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1,4</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22C6D607"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14-19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410D9639"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1</w:t>
            </w:r>
            <w:r>
              <w:rPr>
                <w:rFonts w:ascii="Avenir Book" w:hAnsi="Avenir Book" w:cs="Arial"/>
                <w:sz w:val="20"/>
                <w:szCs w:val="20"/>
              </w:rPr>
              <w:t>,3</w:t>
            </w:r>
          </w:p>
        </w:tc>
      </w:tr>
      <w:tr w:rsidR="004E7AB7" w:rsidRPr="003067E0" w14:paraId="61CE2E44" w14:textId="77777777" w:rsidTr="005B7C0A">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2108CA7C"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1-3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694CCB30"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0,6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421BEFF7"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44D1B66A"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3C4FD8A0"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20-29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5E363CFA" w14:textId="77777777" w:rsidR="004E7AB7" w:rsidRPr="003067E0" w:rsidRDefault="004E7AB7" w:rsidP="005B7C0A">
            <w:pPr>
              <w:spacing w:line="276" w:lineRule="auto"/>
              <w:rPr>
                <w:rFonts w:ascii="Avenir Book" w:hAnsi="Avenir Book" w:cs="Arial"/>
                <w:sz w:val="20"/>
                <w:szCs w:val="20"/>
              </w:rPr>
            </w:pPr>
            <w:r w:rsidRPr="00A82BB9">
              <w:rPr>
                <w:rFonts w:ascii="Avenir Book" w:hAnsi="Avenir Book" w:cs="Arial"/>
                <w:sz w:val="20"/>
                <w:szCs w:val="20"/>
              </w:rPr>
              <w:t>1</w:t>
            </w:r>
            <w:r>
              <w:rPr>
                <w:rFonts w:ascii="Avenir Book" w:hAnsi="Avenir Book" w:cs="Arial"/>
                <w:sz w:val="20"/>
                <w:szCs w:val="20"/>
              </w:rPr>
              <w:t>,2</w:t>
            </w:r>
          </w:p>
        </w:tc>
      </w:tr>
      <w:tr w:rsidR="004E7AB7" w:rsidRPr="003067E0" w14:paraId="47946B33" w14:textId="77777777" w:rsidTr="005B7C0A">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3DD1D2AD"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4-5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58C06DF"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0,9</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57F0728D"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3E676763" w14:textId="77777777" w:rsidR="004E7AB7" w:rsidRPr="003067E0" w:rsidRDefault="004E7AB7" w:rsidP="005B7C0A">
            <w:pPr>
              <w:spacing w:line="276" w:lineRule="auto"/>
              <w:rPr>
                <w:rFonts w:ascii="Avenir Book" w:hAnsi="Avenir Book" w:cs="Arial"/>
                <w:sz w:val="20"/>
                <w:szCs w:val="20"/>
              </w:rPr>
            </w:pPr>
            <w:r w:rsidRPr="007E3B50">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1FF6047A"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30-39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3C16890C" w14:textId="77777777" w:rsidR="004E7AB7" w:rsidRPr="003067E0" w:rsidRDefault="004E7AB7" w:rsidP="005B7C0A">
            <w:pPr>
              <w:spacing w:line="276" w:lineRule="auto"/>
              <w:rPr>
                <w:rFonts w:ascii="Avenir Book" w:hAnsi="Avenir Book" w:cs="Arial"/>
                <w:sz w:val="20"/>
                <w:szCs w:val="20"/>
              </w:rPr>
            </w:pPr>
            <w:r w:rsidRPr="00CC67F2">
              <w:rPr>
                <w:rFonts w:ascii="Avenir Book" w:hAnsi="Avenir Book" w:cs="Arial"/>
                <w:sz w:val="20"/>
                <w:szCs w:val="20"/>
              </w:rPr>
              <w:t>1,2</w:t>
            </w:r>
          </w:p>
        </w:tc>
      </w:tr>
      <w:tr w:rsidR="004E7AB7" w:rsidRPr="003067E0" w14:paraId="38F81FA1" w14:textId="77777777" w:rsidTr="005B7C0A">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23E15534"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168E5EEB"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1</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6EDC2B98"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0F815856" w14:textId="77777777" w:rsidR="004E7AB7" w:rsidRPr="003067E0" w:rsidRDefault="004E7AB7" w:rsidP="005B7C0A">
            <w:pPr>
              <w:spacing w:line="276" w:lineRule="auto"/>
              <w:rPr>
                <w:rFonts w:ascii="Avenir Book" w:hAnsi="Avenir Book" w:cs="Arial"/>
                <w:sz w:val="20"/>
                <w:szCs w:val="20"/>
              </w:rPr>
            </w:pPr>
            <w:r w:rsidRPr="007E3B50">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7026A74B"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40-49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15ECD01A" w14:textId="77777777" w:rsidR="004E7AB7" w:rsidRPr="003067E0" w:rsidRDefault="004E7AB7" w:rsidP="005B7C0A">
            <w:pPr>
              <w:spacing w:line="276" w:lineRule="auto"/>
              <w:rPr>
                <w:rFonts w:ascii="Avenir Book" w:hAnsi="Avenir Book" w:cs="Arial"/>
                <w:sz w:val="20"/>
                <w:szCs w:val="20"/>
              </w:rPr>
            </w:pPr>
            <w:r w:rsidRPr="00CC67F2">
              <w:rPr>
                <w:rFonts w:ascii="Avenir Book" w:hAnsi="Avenir Book" w:cs="Arial"/>
                <w:sz w:val="20"/>
                <w:szCs w:val="20"/>
              </w:rPr>
              <w:t>1,2</w:t>
            </w:r>
          </w:p>
        </w:tc>
      </w:tr>
      <w:tr w:rsidR="004E7AB7" w:rsidRPr="003067E0" w14:paraId="19A997DC" w14:textId="77777777" w:rsidTr="005B7C0A">
        <w:tc>
          <w:tcPr>
            <w:tcW w:w="0" w:type="auto"/>
            <w:tcBorders>
              <w:top w:val="single" w:sz="4" w:space="0" w:color="FFFFFF" w:themeColor="background1"/>
              <w:left w:val="single" w:sz="18" w:space="0" w:color="BFBFBF" w:themeColor="background1" w:themeShade="BF"/>
              <w:bottom w:val="single" w:sz="4" w:space="0" w:color="BFBFBF" w:themeColor="background1" w:themeShade="BF"/>
              <w:right w:val="single" w:sz="18" w:space="0" w:color="FFFFFF" w:themeColor="background1"/>
            </w:tcBorders>
          </w:tcPr>
          <w:p w14:paraId="21E24772" w14:textId="77777777" w:rsidR="004E7AB7" w:rsidRPr="003067E0" w:rsidRDefault="004E7AB7" w:rsidP="005B7C0A">
            <w:pPr>
              <w:spacing w:line="276" w:lineRule="auto"/>
              <w:rPr>
                <w:rFonts w:ascii="Avenir Book" w:hAnsi="Avenir Book" w:cs="Arial"/>
                <w:sz w:val="20"/>
                <w:szCs w:val="20"/>
              </w:rPr>
            </w:pPr>
          </w:p>
        </w:tc>
        <w:tc>
          <w:tcPr>
            <w:tcW w:w="0" w:type="auto"/>
            <w:tcBorders>
              <w:top w:val="single" w:sz="4" w:space="0" w:color="FFFFFF" w:themeColor="background1"/>
              <w:left w:val="single" w:sz="18" w:space="0" w:color="FFFFFF" w:themeColor="background1"/>
              <w:bottom w:val="single" w:sz="4" w:space="0" w:color="BFBFBF" w:themeColor="background1" w:themeShade="BF"/>
              <w:right w:val="single" w:sz="18" w:space="0" w:color="BFBFBF" w:themeColor="background1" w:themeShade="BF"/>
            </w:tcBorders>
          </w:tcPr>
          <w:p w14:paraId="00DB9FBC" w14:textId="77777777" w:rsidR="004E7AB7" w:rsidRPr="003067E0" w:rsidRDefault="004E7AB7" w:rsidP="005B7C0A">
            <w:pPr>
              <w:spacing w:line="276" w:lineRule="auto"/>
              <w:rPr>
                <w:rFonts w:ascii="Avenir Book" w:hAnsi="Avenir Book" w:cs="Arial"/>
                <w:sz w:val="20"/>
                <w:szCs w:val="20"/>
              </w:rPr>
            </w:pP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048B8F12"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8FC599D" w14:textId="77777777" w:rsidR="004E7AB7" w:rsidRPr="003067E0" w:rsidRDefault="004E7AB7" w:rsidP="005B7C0A">
            <w:pPr>
              <w:spacing w:line="276" w:lineRule="auto"/>
              <w:rPr>
                <w:rFonts w:ascii="Avenir Book" w:hAnsi="Avenir Book" w:cs="Arial"/>
                <w:sz w:val="20"/>
                <w:szCs w:val="20"/>
              </w:rPr>
            </w:pPr>
            <w:r w:rsidRPr="007E3B50">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0406CA97"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50-59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1396C253" w14:textId="77777777" w:rsidR="004E7AB7" w:rsidRPr="003067E0" w:rsidRDefault="004E7AB7" w:rsidP="005B7C0A">
            <w:pPr>
              <w:spacing w:line="276" w:lineRule="auto"/>
              <w:rPr>
                <w:rFonts w:ascii="Avenir Book" w:hAnsi="Avenir Book" w:cs="Arial"/>
                <w:sz w:val="20"/>
                <w:szCs w:val="20"/>
              </w:rPr>
            </w:pPr>
            <w:r w:rsidRPr="00CC67F2">
              <w:rPr>
                <w:rFonts w:ascii="Avenir Book" w:hAnsi="Avenir Book" w:cs="Arial"/>
                <w:sz w:val="20"/>
                <w:szCs w:val="20"/>
              </w:rPr>
              <w:t>1,2</w:t>
            </w:r>
          </w:p>
        </w:tc>
      </w:tr>
      <w:tr w:rsidR="004E7AB7" w:rsidRPr="003067E0" w14:paraId="524AA77B" w14:textId="77777777" w:rsidTr="005B7C0A">
        <w:tc>
          <w:tcPr>
            <w:tcW w:w="0" w:type="auto"/>
            <w:tcBorders>
              <w:top w:val="single" w:sz="4" w:space="0" w:color="BFBFBF" w:themeColor="background1" w:themeShade="BF"/>
              <w:left w:val="single" w:sz="18" w:space="0" w:color="BFBFBF" w:themeColor="background1" w:themeShade="BF"/>
              <w:bottom w:val="single" w:sz="4" w:space="0" w:color="FFFFFF" w:themeColor="background1"/>
              <w:right w:val="single" w:sz="18" w:space="0" w:color="FFFFFF" w:themeColor="background1"/>
            </w:tcBorders>
          </w:tcPr>
          <w:p w14:paraId="1A33A51F"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Embarazo</w:t>
            </w:r>
          </w:p>
        </w:tc>
        <w:tc>
          <w:tcPr>
            <w:tcW w:w="0" w:type="auto"/>
            <w:tcBorders>
              <w:top w:val="single" w:sz="4" w:space="0" w:color="BFBFBF" w:themeColor="background1" w:themeShade="BF"/>
              <w:left w:val="single" w:sz="18" w:space="0" w:color="FFFFFF" w:themeColor="background1"/>
              <w:bottom w:val="single" w:sz="4" w:space="0" w:color="FFFFFF" w:themeColor="background1"/>
              <w:right w:val="single" w:sz="18" w:space="0" w:color="BFBFBF" w:themeColor="background1" w:themeShade="BF"/>
            </w:tcBorders>
          </w:tcPr>
          <w:p w14:paraId="4A5253B4"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1,5</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18" w:space="0" w:color="FFFFFF" w:themeColor="background1"/>
            </w:tcBorders>
          </w:tcPr>
          <w:p w14:paraId="5361F821"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18" w:space="0" w:color="FFFFFF" w:themeColor="background1"/>
              <w:bottom w:val="single" w:sz="4" w:space="0" w:color="FFFFFF" w:themeColor="background1"/>
              <w:right w:val="single" w:sz="18" w:space="0" w:color="BFBFBF" w:themeColor="background1" w:themeShade="BF"/>
            </w:tcBorders>
          </w:tcPr>
          <w:p w14:paraId="7078FEB9" w14:textId="77777777" w:rsidR="004E7AB7" w:rsidRPr="003067E0" w:rsidRDefault="004E7AB7" w:rsidP="005B7C0A">
            <w:pPr>
              <w:spacing w:line="276" w:lineRule="auto"/>
              <w:rPr>
                <w:rFonts w:ascii="Avenir Book" w:hAnsi="Avenir Book" w:cs="Arial"/>
                <w:sz w:val="20"/>
                <w:szCs w:val="20"/>
              </w:rPr>
            </w:pPr>
            <w:r w:rsidRPr="00B6790F">
              <w:rPr>
                <w:rFonts w:ascii="Avenir Book" w:hAnsi="Avenir Book" w:cs="Arial"/>
                <w:sz w:val="20"/>
                <w:szCs w:val="20"/>
              </w:rPr>
              <w:t>1</w:t>
            </w:r>
            <w:r>
              <w:rPr>
                <w:rFonts w:ascii="Avenir Book" w:hAnsi="Avenir Book" w:cs="Arial"/>
                <w:sz w:val="20"/>
                <w:szCs w:val="20"/>
              </w:rPr>
              <w:t>,6</w:t>
            </w:r>
          </w:p>
        </w:tc>
        <w:tc>
          <w:tcPr>
            <w:tcW w:w="0" w:type="auto"/>
            <w:tcBorders>
              <w:top w:val="single" w:sz="4" w:space="0" w:color="FFFFFF" w:themeColor="background1"/>
              <w:left w:val="single" w:sz="18" w:space="0" w:color="BFBFBF" w:themeColor="background1" w:themeShade="BF"/>
              <w:bottom w:val="single" w:sz="4" w:space="0" w:color="FFFFFF" w:themeColor="background1"/>
              <w:right w:val="single" w:sz="4" w:space="0" w:color="FFFFFF" w:themeColor="background1"/>
            </w:tcBorders>
          </w:tcPr>
          <w:p w14:paraId="6CD0FF42"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60-69 años</w:t>
            </w:r>
          </w:p>
        </w:tc>
        <w:tc>
          <w:tcPr>
            <w:tcW w:w="0" w:type="auto"/>
            <w:tcBorders>
              <w:top w:val="single" w:sz="4" w:space="0" w:color="FFFFFF" w:themeColor="background1"/>
              <w:left w:val="single" w:sz="4" w:space="0" w:color="FFFFFF" w:themeColor="background1"/>
              <w:bottom w:val="single" w:sz="4" w:space="0" w:color="FFFFFF" w:themeColor="background1"/>
              <w:right w:val="single" w:sz="18" w:space="0" w:color="BFBFBF" w:themeColor="background1" w:themeShade="BF"/>
            </w:tcBorders>
          </w:tcPr>
          <w:p w14:paraId="28DD7127" w14:textId="77777777" w:rsidR="004E7AB7" w:rsidRPr="003067E0" w:rsidRDefault="004E7AB7" w:rsidP="005B7C0A">
            <w:pPr>
              <w:spacing w:line="276" w:lineRule="auto"/>
              <w:rPr>
                <w:rFonts w:ascii="Avenir Book" w:hAnsi="Avenir Book" w:cs="Arial"/>
                <w:sz w:val="20"/>
                <w:szCs w:val="20"/>
              </w:rPr>
            </w:pPr>
            <w:r w:rsidRPr="00CC67F2">
              <w:rPr>
                <w:rFonts w:ascii="Avenir Book" w:hAnsi="Avenir Book" w:cs="Arial"/>
                <w:sz w:val="20"/>
                <w:szCs w:val="20"/>
              </w:rPr>
              <w:t>1,2</w:t>
            </w:r>
          </w:p>
        </w:tc>
      </w:tr>
      <w:tr w:rsidR="004E7AB7" w:rsidRPr="003067E0" w14:paraId="7361FD31" w14:textId="77777777" w:rsidTr="005B7C0A">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1507EA02"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Lactancia</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6BA91DC6"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18" w:space="0" w:color="FFFFFF" w:themeColor="background1"/>
            </w:tcBorders>
          </w:tcPr>
          <w:p w14:paraId="51E826F8"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18" w:space="0" w:color="FFFFFF" w:themeColor="background1"/>
              <w:bottom w:val="single" w:sz="18" w:space="0" w:color="BFBFBF" w:themeColor="background1" w:themeShade="BF"/>
              <w:right w:val="single" w:sz="18" w:space="0" w:color="BFBFBF" w:themeColor="background1" w:themeShade="BF"/>
            </w:tcBorders>
          </w:tcPr>
          <w:p w14:paraId="522BE39D" w14:textId="77777777" w:rsidR="004E7AB7" w:rsidRPr="003067E0" w:rsidRDefault="004E7AB7" w:rsidP="005B7C0A">
            <w:pPr>
              <w:spacing w:line="276" w:lineRule="auto"/>
              <w:rPr>
                <w:rFonts w:ascii="Avenir Book" w:hAnsi="Avenir Book" w:cs="Arial"/>
                <w:sz w:val="20"/>
                <w:szCs w:val="20"/>
              </w:rPr>
            </w:pPr>
            <w:r>
              <w:rPr>
                <w:rFonts w:ascii="Avenir Book" w:hAnsi="Avenir Book" w:cs="Arial"/>
                <w:sz w:val="20"/>
                <w:szCs w:val="20"/>
              </w:rPr>
              <w:t>1,6</w:t>
            </w:r>
          </w:p>
        </w:tc>
        <w:tc>
          <w:tcPr>
            <w:tcW w:w="0" w:type="auto"/>
            <w:tcBorders>
              <w:top w:val="single" w:sz="4" w:space="0" w:color="FFFFFF" w:themeColor="background1"/>
              <w:left w:val="single" w:sz="18" w:space="0" w:color="BFBFBF" w:themeColor="background1" w:themeShade="BF"/>
              <w:bottom w:val="single" w:sz="18" w:space="0" w:color="BFBFBF" w:themeColor="background1" w:themeShade="BF"/>
              <w:right w:val="single" w:sz="4" w:space="0" w:color="FFFFFF" w:themeColor="background1"/>
            </w:tcBorders>
          </w:tcPr>
          <w:p w14:paraId="78C7F0F9" w14:textId="77777777" w:rsidR="004E7AB7" w:rsidRPr="003067E0" w:rsidRDefault="004E7AB7" w:rsidP="005B7C0A">
            <w:pPr>
              <w:spacing w:line="276" w:lineRule="auto"/>
              <w:rPr>
                <w:rFonts w:ascii="Avenir Book" w:hAnsi="Avenir Book" w:cs="Arial"/>
                <w:sz w:val="20"/>
                <w:szCs w:val="20"/>
              </w:rPr>
            </w:pPr>
            <w:r w:rsidRPr="003067E0">
              <w:rPr>
                <w:rFonts w:ascii="Avenir Book" w:hAnsi="Avenir Book" w:cs="Arial"/>
                <w:sz w:val="20"/>
                <w:szCs w:val="20"/>
              </w:rPr>
              <w:t>&gt;70 años</w:t>
            </w:r>
          </w:p>
        </w:tc>
        <w:tc>
          <w:tcPr>
            <w:tcW w:w="0" w:type="auto"/>
            <w:tcBorders>
              <w:top w:val="single" w:sz="4" w:space="0" w:color="FFFFFF" w:themeColor="background1"/>
              <w:left w:val="single" w:sz="4" w:space="0" w:color="FFFFFF" w:themeColor="background1"/>
              <w:bottom w:val="single" w:sz="18" w:space="0" w:color="BFBFBF" w:themeColor="background1" w:themeShade="BF"/>
              <w:right w:val="single" w:sz="18" w:space="0" w:color="BFBFBF" w:themeColor="background1" w:themeShade="BF"/>
            </w:tcBorders>
          </w:tcPr>
          <w:p w14:paraId="297472B9" w14:textId="77777777" w:rsidR="004E7AB7" w:rsidRPr="003067E0" w:rsidRDefault="004E7AB7" w:rsidP="005B7C0A">
            <w:pPr>
              <w:spacing w:line="276" w:lineRule="auto"/>
              <w:rPr>
                <w:rFonts w:ascii="Avenir Book" w:hAnsi="Avenir Book" w:cs="Arial"/>
                <w:sz w:val="20"/>
                <w:szCs w:val="20"/>
              </w:rPr>
            </w:pPr>
            <w:r w:rsidRPr="00CC67F2">
              <w:rPr>
                <w:rFonts w:ascii="Avenir Book" w:hAnsi="Avenir Book" w:cs="Arial"/>
                <w:sz w:val="20"/>
                <w:szCs w:val="20"/>
              </w:rPr>
              <w:t>1,2</w:t>
            </w:r>
          </w:p>
        </w:tc>
      </w:tr>
    </w:tbl>
    <w:p w14:paraId="113B46C7" w14:textId="360996C0" w:rsidR="004E7AB7" w:rsidRPr="003067E0" w:rsidRDefault="007419DE" w:rsidP="004E7AB7">
      <w:pPr>
        <w:spacing w:line="276" w:lineRule="auto"/>
        <w:rPr>
          <w:rFonts w:ascii="Avenir Book" w:hAnsi="Avenir Book" w:cs="Arial"/>
          <w:sz w:val="20"/>
          <w:szCs w:val="20"/>
        </w:rPr>
      </w:pPr>
      <w:r>
        <w:rPr>
          <w:rFonts w:ascii="Avenir Book" w:hAnsi="Avenir Book" w:cs="Arial"/>
          <w:sz w:val="20"/>
          <w:szCs w:val="20"/>
        </w:rPr>
        <w:t xml:space="preserve">* </w:t>
      </w:r>
      <w:r w:rsidR="004E7AB7" w:rsidRPr="00140554">
        <w:rPr>
          <w:rFonts w:ascii="Avenir Book" w:hAnsi="Avenir Book" w:cs="Arial"/>
          <w:b/>
          <w:sz w:val="20"/>
          <w:szCs w:val="20"/>
        </w:rPr>
        <w:t>IDR</w:t>
      </w:r>
      <w:r w:rsidR="004E7AB7">
        <w:rPr>
          <w:rFonts w:ascii="Avenir Book" w:hAnsi="Avenir Book" w:cs="Arial"/>
          <w:sz w:val="20"/>
          <w:szCs w:val="20"/>
        </w:rPr>
        <w:t xml:space="preserve"> </w:t>
      </w:r>
      <w:r w:rsidR="004E7AB7" w:rsidRPr="003067E0">
        <w:rPr>
          <w:rFonts w:ascii="Avenir Book" w:hAnsi="Avenir Book" w:cs="Arial"/>
          <w:sz w:val="20"/>
          <w:szCs w:val="20"/>
        </w:rPr>
        <w:t>para población espa</w:t>
      </w:r>
      <w:r w:rsidR="004E7AB7">
        <w:rPr>
          <w:rFonts w:ascii="Avenir Book" w:hAnsi="Avenir Book" w:cs="Arial"/>
          <w:sz w:val="20"/>
          <w:szCs w:val="20"/>
        </w:rPr>
        <w:t>ñola s</w:t>
      </w:r>
      <w:r w:rsidR="004E7AB7" w:rsidRPr="003067E0">
        <w:rPr>
          <w:rFonts w:ascii="Avenir Book" w:hAnsi="Avenir Book" w:cs="Arial"/>
          <w:sz w:val="20"/>
          <w:szCs w:val="20"/>
        </w:rPr>
        <w:t>egún FESNAD (</w:t>
      </w:r>
      <w:r w:rsidR="004E7AB7">
        <w:rPr>
          <w:rFonts w:ascii="Avenir Book" w:hAnsi="Avenir Book" w:cs="Arial"/>
          <w:sz w:val="20"/>
          <w:szCs w:val="20"/>
        </w:rPr>
        <w:t>2010</w:t>
      </w:r>
      <w:r w:rsidR="004E7AB7" w:rsidRPr="003067E0">
        <w:rPr>
          <w:rFonts w:ascii="Avenir Book" w:hAnsi="Avenir Book" w:cs="Arial"/>
          <w:sz w:val="20"/>
          <w:szCs w:val="20"/>
        </w:rPr>
        <w:t>)</w:t>
      </w:r>
      <w:r w:rsidR="00265D76">
        <w:rPr>
          <w:rFonts w:ascii="Avenir Book" w:hAnsi="Avenir Book" w:cs="Arial"/>
          <w:sz w:val="20"/>
          <w:szCs w:val="20"/>
        </w:rPr>
        <w:t xml:space="preserve"> </w:t>
      </w:r>
      <w:r w:rsidR="00B11B07">
        <w:rPr>
          <w:rFonts w:ascii="Avenir Book" w:hAnsi="Avenir Book" w:cs="Arial"/>
          <w:sz w:val="20"/>
          <w:szCs w:val="20"/>
        </w:rPr>
        <w:fldChar w:fldCharType="begin" w:fldLock="1"/>
      </w:r>
      <w:r w:rsidR="00E62774">
        <w:rPr>
          <w:rFonts w:ascii="Avenir Book" w:hAnsi="Avenir Book" w:cs="Arial"/>
          <w:sz w:val="20"/>
          <w:szCs w:val="20"/>
        </w:rPr>
        <w:instrText>ADDIN CSL_CITATION { "citationItems" : [ { "id" : "ITEM-1", "itemData" : { "author" : [ { "dropping-particle" : "", "family" : "Cuervo", "given" : "Marta", "non-dropping-particle" : "", "parse-names" : false, "suffix" : "" }, { "dropping-particle" : "", "family" : "Abete", "given" : "Itziar", "non-dropping-particle" : "", "parse-names" : false, "suffix" : "" }, { "dropping-particle" : "", "family" : "Baladia", "given" : "Eduard", "non-dropping-particle" : "", "parse-names" : false, "suffix" : "" }, { "dropping-particle" : "", "family" : "Corbal\u00e1n", "given" : "Marisol", "non-dropping-particle" : "", "parse-names" : false, "suffix" : "" }, { "dropping-particle" : "", "family" : "Manera", "given" : "Maria", "non-dropping-particle" : "", "parse-names" : false, "suffix" : "" }, { "dropping-particle" : "", "family" : "Basulto", "given" : "Julio", "non-dropping-particle" : "", "parse-names" : false, "suffix" : "" }, { "dropping-particle" : "", "family" : "Mart\u00ednez", "given" : "J. Alfredo", "non-dropping-particle" : "", "parse-names" : false, "suffix" : "" } ], "id" : "ITEM-1", "issued" : { "date-parts" : [ [ "2010" ] ] }, "title" : "Ingestas Diet\u00e9ticas de Referencia (IDR) para la poblaci\u00f3n espa\u00f1ola FESNAD-2010", "type" : "report" }, "uris" : [ "http://www.mendeley.com/documents/?uuid=55153dbc-56f2-4512-8087-b9c8b088daa6" ] } ], "mendeley" : { "formattedCitation" : "(4)", "plainTextFormattedCitation" : "(4)", "previouslyFormattedCitation" : "(4)" }, "properties" : { "noteIndex" : 0 }, "schema" : "https://github.com/citation-style-language/schema/raw/master/csl-citation.json" }</w:instrText>
      </w:r>
      <w:r w:rsidR="00B11B07">
        <w:rPr>
          <w:rFonts w:ascii="Avenir Book" w:hAnsi="Avenir Book" w:cs="Arial"/>
          <w:sz w:val="20"/>
          <w:szCs w:val="20"/>
        </w:rPr>
        <w:fldChar w:fldCharType="separate"/>
      </w:r>
      <w:r w:rsidR="00B11B07" w:rsidRPr="00B11B07">
        <w:rPr>
          <w:rFonts w:ascii="Avenir Book" w:hAnsi="Avenir Book" w:cs="Arial"/>
          <w:noProof/>
          <w:sz w:val="20"/>
          <w:szCs w:val="20"/>
        </w:rPr>
        <w:t>(4)</w:t>
      </w:r>
      <w:r w:rsidR="00B11B07">
        <w:rPr>
          <w:rFonts w:ascii="Avenir Book" w:hAnsi="Avenir Book" w:cs="Arial"/>
          <w:sz w:val="20"/>
          <w:szCs w:val="20"/>
        </w:rPr>
        <w:fldChar w:fldCharType="end"/>
      </w:r>
      <w:r w:rsidR="004E7AB7" w:rsidRPr="003067E0">
        <w:rPr>
          <w:rFonts w:ascii="Avenir Book" w:hAnsi="Avenir Book" w:cs="Arial"/>
          <w:sz w:val="20"/>
          <w:szCs w:val="20"/>
        </w:rPr>
        <w:t xml:space="preserve"> </w:t>
      </w:r>
    </w:p>
    <w:p w14:paraId="2A16EB14" w14:textId="77777777" w:rsidR="004E7AB7" w:rsidRPr="003067E0" w:rsidRDefault="004E7AB7" w:rsidP="004E7AB7">
      <w:pPr>
        <w:spacing w:line="276" w:lineRule="auto"/>
        <w:rPr>
          <w:rFonts w:ascii="Avenir Book" w:hAnsi="Avenir Book" w:cs="Arial"/>
          <w:sz w:val="20"/>
          <w:szCs w:val="20"/>
        </w:rPr>
      </w:pPr>
    </w:p>
    <w:p w14:paraId="4C452D3D" w14:textId="77777777" w:rsidR="004E7AB7" w:rsidRPr="003067E0" w:rsidRDefault="004E7AB7" w:rsidP="004E7AB7">
      <w:pPr>
        <w:spacing w:line="276" w:lineRule="auto"/>
        <w:rPr>
          <w:rFonts w:ascii="Avenir Book" w:hAnsi="Avenir Book" w:cs="Arial"/>
          <w:sz w:val="20"/>
          <w:szCs w:val="20"/>
        </w:rPr>
      </w:pPr>
    </w:p>
    <w:p w14:paraId="14E5683C" w14:textId="77777777" w:rsidR="004E7AB7" w:rsidRPr="003067E0" w:rsidRDefault="004E7AB7" w:rsidP="004E7AB7">
      <w:pPr>
        <w:spacing w:line="276" w:lineRule="auto"/>
        <w:rPr>
          <w:rFonts w:ascii="Avenir Book" w:hAnsi="Avenir Book" w:cs="Arial"/>
          <w:sz w:val="20"/>
          <w:szCs w:val="20"/>
        </w:rPr>
      </w:pPr>
    </w:p>
    <w:p w14:paraId="3FDC8EED" w14:textId="77777777" w:rsidR="004E7AB7" w:rsidRPr="003067E0" w:rsidRDefault="004E7AB7" w:rsidP="004E7AB7">
      <w:pPr>
        <w:spacing w:line="276" w:lineRule="auto"/>
        <w:rPr>
          <w:rFonts w:ascii="Avenir Book" w:hAnsi="Avenir Book" w:cs="Arial"/>
          <w:sz w:val="20"/>
          <w:szCs w:val="20"/>
        </w:rPr>
      </w:pPr>
    </w:p>
    <w:p w14:paraId="0B63FEBB" w14:textId="77777777" w:rsidR="004E7AB7" w:rsidRPr="003067E0" w:rsidRDefault="004E7AB7" w:rsidP="004E7AB7">
      <w:pPr>
        <w:spacing w:line="276" w:lineRule="auto"/>
        <w:rPr>
          <w:rFonts w:ascii="Avenir Book" w:hAnsi="Avenir Book" w:cs="Arial"/>
          <w:sz w:val="20"/>
          <w:szCs w:val="20"/>
        </w:rPr>
      </w:pPr>
    </w:p>
    <w:p w14:paraId="162FFD3D" w14:textId="77777777" w:rsidR="004E7AB7" w:rsidRPr="003067E0" w:rsidRDefault="004E7AB7" w:rsidP="004E7AB7">
      <w:pPr>
        <w:spacing w:line="276" w:lineRule="auto"/>
        <w:rPr>
          <w:rFonts w:ascii="Avenir Book" w:hAnsi="Avenir Book" w:cs="Arial"/>
          <w:sz w:val="20"/>
          <w:szCs w:val="20"/>
        </w:rPr>
      </w:pPr>
      <w:r w:rsidRPr="003067E0">
        <w:rPr>
          <w:rFonts w:ascii="Avenir Book" w:hAnsi="Avenir Book" w:cs="Arial"/>
          <w:sz w:val="20"/>
          <w:szCs w:val="20"/>
        </w:rPr>
        <w:tab/>
      </w:r>
    </w:p>
    <w:p w14:paraId="4A12D491" w14:textId="77777777" w:rsidR="004E7AB7" w:rsidRPr="003067E0" w:rsidRDefault="004E7AB7" w:rsidP="004E7AB7">
      <w:pPr>
        <w:spacing w:line="276" w:lineRule="auto"/>
        <w:rPr>
          <w:rFonts w:ascii="Avenir Book" w:hAnsi="Avenir Book" w:cs="Arial"/>
          <w:sz w:val="20"/>
          <w:szCs w:val="20"/>
        </w:rPr>
      </w:pPr>
    </w:p>
    <w:p w14:paraId="4F719C7C" w14:textId="77777777" w:rsidR="004E7AB7" w:rsidRPr="003067E0" w:rsidRDefault="004E7AB7" w:rsidP="004E7AB7">
      <w:pPr>
        <w:spacing w:line="276" w:lineRule="auto"/>
        <w:rPr>
          <w:rFonts w:ascii="Avenir Book" w:hAnsi="Avenir Book" w:cs="Arial"/>
          <w:sz w:val="20"/>
          <w:szCs w:val="20"/>
        </w:rPr>
      </w:pPr>
    </w:p>
    <w:p w14:paraId="548D2AC5" w14:textId="77777777" w:rsidR="004E7AB7" w:rsidRPr="003067E0" w:rsidRDefault="004E7AB7" w:rsidP="004E7AB7">
      <w:pPr>
        <w:spacing w:line="276" w:lineRule="auto"/>
        <w:rPr>
          <w:rFonts w:ascii="Avenir Book" w:hAnsi="Avenir Book" w:cs="Arial"/>
          <w:sz w:val="20"/>
          <w:szCs w:val="20"/>
        </w:rPr>
      </w:pPr>
    </w:p>
    <w:p w14:paraId="46AEACB8" w14:textId="77777777" w:rsidR="004E7AB7" w:rsidRDefault="004E7AB7" w:rsidP="004E7AB7">
      <w:pPr>
        <w:widowControl w:val="0"/>
        <w:autoSpaceDE w:val="0"/>
        <w:autoSpaceDN w:val="0"/>
        <w:adjustRightInd w:val="0"/>
        <w:rPr>
          <w:rFonts w:ascii="Avenir Book" w:hAnsi="Avenir Book" w:cs="Gill Sans"/>
          <w:sz w:val="20"/>
          <w:szCs w:val="20"/>
          <w:vertAlign w:val="superscript"/>
          <w:lang w:val="es-ES"/>
        </w:rPr>
      </w:pPr>
    </w:p>
    <w:p w14:paraId="3624F0ED" w14:textId="77777777" w:rsidR="004E7AB7" w:rsidRPr="00BE3DB8" w:rsidRDefault="004E7AB7" w:rsidP="004E7AB7">
      <w:pPr>
        <w:widowControl w:val="0"/>
        <w:autoSpaceDE w:val="0"/>
        <w:autoSpaceDN w:val="0"/>
        <w:adjustRightInd w:val="0"/>
        <w:rPr>
          <w:rFonts w:ascii="Avenir Book" w:hAnsi="Avenir Book" w:cs="Times"/>
          <w:sz w:val="18"/>
          <w:szCs w:val="18"/>
          <w:lang w:val="es-ES"/>
        </w:rPr>
      </w:pPr>
    </w:p>
    <w:p w14:paraId="423B8505" w14:textId="20A67D04" w:rsidR="004E7AB7" w:rsidRDefault="004E7AB7" w:rsidP="004E7AB7">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hAnsi="Avenir Book" w:cs="Arial"/>
          <w:sz w:val="20"/>
          <w:szCs w:val="20"/>
        </w:rPr>
        <w:t xml:space="preserve">* </w:t>
      </w:r>
      <w:r w:rsidRPr="00D62F34">
        <w:rPr>
          <w:rFonts w:ascii="Avenir Book" w:hAnsi="Avenir Book" w:cs="Arial"/>
          <w:b/>
          <w:sz w:val="20"/>
          <w:szCs w:val="20"/>
        </w:rPr>
        <w:t>RDA</w:t>
      </w:r>
      <w:r>
        <w:rPr>
          <w:rFonts w:ascii="Avenir Book" w:hAnsi="Avenir Book" w:cs="Arial"/>
          <w:sz w:val="20"/>
          <w:szCs w:val="20"/>
        </w:rPr>
        <w:t xml:space="preserve"> segun </w:t>
      </w:r>
      <w:r>
        <w:rPr>
          <w:rFonts w:ascii="Avenir Book" w:eastAsia="Times New Roman" w:hAnsi="Avenir Book" w:cs="Arial"/>
          <w:color w:val="000000"/>
          <w:sz w:val="20"/>
          <w:szCs w:val="20"/>
        </w:rPr>
        <w:t>Institute of Medicine de US</w:t>
      </w:r>
      <w:r w:rsidRPr="00140554">
        <w:rPr>
          <w:rFonts w:ascii="Avenir Book" w:eastAsia="Times New Roman" w:hAnsi="Avenir Book" w:cs="Arial"/>
          <w:color w:val="000000"/>
          <w:sz w:val="20"/>
          <w:szCs w:val="20"/>
        </w:rPr>
        <w:t xml:space="preserve"> </w:t>
      </w:r>
      <w:r>
        <w:rPr>
          <w:rFonts w:ascii="Avenir Book" w:eastAsia="Times New Roman" w:hAnsi="Avenir Book" w:cs="Arial"/>
          <w:color w:val="000000"/>
          <w:sz w:val="20"/>
          <w:szCs w:val="20"/>
        </w:rPr>
        <w:t>(</w:t>
      </w:r>
      <w:r w:rsidRPr="00140554">
        <w:rPr>
          <w:rFonts w:ascii="Avenir Book" w:eastAsia="Times New Roman" w:hAnsi="Avenir Book" w:cs="Arial"/>
          <w:color w:val="000000"/>
          <w:sz w:val="20"/>
          <w:szCs w:val="20"/>
        </w:rPr>
        <w:t>1998)</w:t>
      </w:r>
      <w:r w:rsidR="00265D76">
        <w:rPr>
          <w:rFonts w:ascii="Avenir Book" w:eastAsia="Times New Roman" w:hAnsi="Avenir Book" w:cs="Arial"/>
          <w:color w:val="000000"/>
          <w:sz w:val="20"/>
          <w:szCs w:val="20"/>
        </w:rPr>
        <w:t xml:space="preserve"> </w:t>
      </w:r>
      <w:r w:rsidR="00265D76">
        <w:rPr>
          <w:rFonts w:ascii="Avenir Book" w:eastAsia="Times New Roman" w:hAnsi="Avenir Book" w:cs="Arial"/>
          <w:color w:val="000000"/>
          <w:sz w:val="20"/>
          <w:szCs w:val="20"/>
        </w:rPr>
        <w:fldChar w:fldCharType="begin" w:fldLock="1"/>
      </w:r>
      <w:r w:rsidR="00265D76">
        <w:rPr>
          <w:rFonts w:ascii="Avenir Book" w:eastAsia="Times New Roman" w:hAnsi="Avenir Book" w:cs="Arial"/>
          <w:color w:val="000000"/>
          <w:sz w:val="20"/>
          <w:szCs w:val="20"/>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"(3)", "plainTextFormattedCitation" : "(3)", "previouslyFormattedCitation" : "(3)" }, "properties" : { "noteIndex" : 0 }, "schema" : "https://github.com/citation-style-language/schema/raw/master/csl-citation.json" }</w:instrText>
      </w:r>
      <w:r w:rsidR="00265D76">
        <w:rPr>
          <w:rFonts w:ascii="Avenir Book" w:eastAsia="Times New Roman" w:hAnsi="Avenir Book" w:cs="Arial"/>
          <w:color w:val="000000"/>
          <w:sz w:val="20"/>
          <w:szCs w:val="20"/>
        </w:rPr>
        <w:fldChar w:fldCharType="separate"/>
      </w:r>
      <w:r w:rsidR="00265D76" w:rsidRPr="00265D76">
        <w:rPr>
          <w:rFonts w:ascii="Avenir Book" w:eastAsia="Times New Roman" w:hAnsi="Avenir Book" w:cs="Arial"/>
          <w:noProof/>
          <w:color w:val="000000"/>
          <w:sz w:val="20"/>
          <w:szCs w:val="20"/>
        </w:rPr>
        <w:t>(3)</w:t>
      </w:r>
      <w:r w:rsidR="00265D76">
        <w:rPr>
          <w:rFonts w:ascii="Avenir Book" w:eastAsia="Times New Roman" w:hAnsi="Avenir Book" w:cs="Arial"/>
          <w:color w:val="000000"/>
          <w:sz w:val="20"/>
          <w:szCs w:val="20"/>
        </w:rPr>
        <w:fldChar w:fldCharType="end"/>
      </w:r>
      <w:r>
        <w:rPr>
          <w:rFonts w:ascii="Avenir Book" w:eastAsia="Times New Roman" w:hAnsi="Avenir Book" w:cs="Times New Roman"/>
          <w:color w:val="000000"/>
          <w:sz w:val="20"/>
          <w:szCs w:val="20"/>
          <w:shd w:val="clear" w:color="auto" w:fill="FFFFFF"/>
        </w:rPr>
        <w:tab/>
      </w:r>
    </w:p>
    <w:p w14:paraId="006AF141" w14:textId="0487F276" w:rsidR="004E7AB7" w:rsidRDefault="00E632A8" w:rsidP="004E7AB7">
      <w:pPr>
        <w:shd w:val="clear" w:color="auto" w:fill="FFFFFF"/>
        <w:spacing w:line="276" w:lineRule="auto"/>
        <w:rPr>
          <w:rFonts w:ascii="Avenir Book" w:eastAsia="Times New Roman" w:hAnsi="Avenir Book" w:cs="Times New Roman"/>
          <w:color w:val="000000"/>
          <w:sz w:val="20"/>
          <w:szCs w:val="20"/>
          <w:shd w:val="clear" w:color="auto" w:fill="FFFFFF"/>
        </w:rPr>
      </w:pPr>
      <w:r>
        <w:rPr>
          <w:rFonts w:ascii="Avenir Book" w:eastAsia="Times New Roman" w:hAnsi="Avenir Book" w:cs="Times New Roman"/>
          <w:color w:val="000000"/>
          <w:sz w:val="20"/>
          <w:szCs w:val="20"/>
          <w:shd w:val="clear" w:color="auto" w:fill="FFFFFF"/>
        </w:rPr>
        <w:tab/>
      </w:r>
      <w:r w:rsidR="004E7AB7">
        <w:rPr>
          <w:rFonts w:ascii="Avenir Book" w:eastAsia="Times New Roman" w:hAnsi="Avenir Book" w:cs="Times New Roman"/>
          <w:color w:val="000000"/>
          <w:sz w:val="20"/>
          <w:szCs w:val="20"/>
          <w:shd w:val="clear" w:color="auto" w:fill="FFFFFF"/>
        </w:rPr>
        <w:t>A</w:t>
      </w:r>
      <w:r w:rsidR="004E7AB7" w:rsidRPr="00D62F34">
        <w:rPr>
          <w:rFonts w:ascii="Avenir Book" w:eastAsia="Times New Roman" w:hAnsi="Avenir Book" w:cs="Times New Roman"/>
          <w:color w:val="000000"/>
          <w:sz w:val="20"/>
          <w:szCs w:val="20"/>
          <w:shd w:val="clear" w:color="auto" w:fill="FFFFFF"/>
        </w:rPr>
        <w:t>dult</w:t>
      </w:r>
      <w:r w:rsidR="004E7AB7">
        <w:rPr>
          <w:rFonts w:ascii="Avenir Book" w:eastAsia="Times New Roman" w:hAnsi="Avenir Book" w:cs="Times New Roman"/>
          <w:color w:val="000000"/>
          <w:sz w:val="20"/>
          <w:szCs w:val="20"/>
          <w:shd w:val="clear" w:color="auto" w:fill="FFFFFF"/>
        </w:rPr>
        <w:t>os jóvenes: 1,3</w:t>
      </w:r>
      <w:r w:rsidR="004E7AB7" w:rsidRPr="003937D0">
        <w:rPr>
          <w:rFonts w:ascii="Avenir Book" w:eastAsia="Times New Roman" w:hAnsi="Avenir Book" w:cs="Times New Roman"/>
          <w:color w:val="000000"/>
          <w:sz w:val="20"/>
          <w:szCs w:val="20"/>
          <w:shd w:val="clear" w:color="auto" w:fill="FFFFFF"/>
        </w:rPr>
        <w:t xml:space="preserve"> mg/día</w:t>
      </w:r>
      <w:r w:rsidR="004E7AB7" w:rsidRPr="00D62F34">
        <w:rPr>
          <w:rFonts w:ascii="Avenir Book" w:eastAsia="Times New Roman" w:hAnsi="Avenir Book" w:cs="Times New Roman"/>
          <w:color w:val="000000"/>
          <w:sz w:val="20"/>
          <w:szCs w:val="20"/>
          <w:shd w:val="clear" w:color="auto" w:fill="FFFFFF"/>
        </w:rPr>
        <w:t xml:space="preserve"> </w:t>
      </w:r>
    </w:p>
    <w:p w14:paraId="21B5F553" w14:textId="77777777" w:rsidR="004E7AB7" w:rsidRPr="00BE3DB8" w:rsidRDefault="004E7AB7" w:rsidP="004E7AB7">
      <w:pPr>
        <w:widowControl w:val="0"/>
        <w:autoSpaceDE w:val="0"/>
        <w:autoSpaceDN w:val="0"/>
        <w:adjustRightInd w:val="0"/>
        <w:rPr>
          <w:rFonts w:ascii="Avenir Book" w:hAnsi="Avenir Book" w:cs="Times"/>
          <w:sz w:val="18"/>
          <w:szCs w:val="18"/>
          <w:lang w:val="es-ES"/>
        </w:rPr>
      </w:pPr>
    </w:p>
    <w:p w14:paraId="5C913928" w14:textId="6483A73A" w:rsidR="004E7AB7" w:rsidRPr="00AC5391" w:rsidRDefault="004E7AB7" w:rsidP="004E7AB7">
      <w:pPr>
        <w:spacing w:line="276" w:lineRule="auto"/>
        <w:rPr>
          <w:rFonts w:ascii="Avenir Book" w:hAnsi="Avenir Book" w:cs="Arial"/>
          <w:sz w:val="20"/>
          <w:szCs w:val="20"/>
        </w:rPr>
      </w:pPr>
      <w:r w:rsidRPr="003067E0">
        <w:rPr>
          <w:rFonts w:ascii="Avenir Book" w:hAnsi="Avenir Book" w:cs="Arial"/>
          <w:b/>
          <w:sz w:val="20"/>
          <w:szCs w:val="20"/>
        </w:rPr>
        <w:t>Calculados como:</w:t>
      </w:r>
      <w:r>
        <w:rPr>
          <w:rFonts w:ascii="Avenir Book" w:hAnsi="Avenir Book" w:cs="Arial"/>
          <w:b/>
          <w:sz w:val="20"/>
          <w:szCs w:val="20"/>
        </w:rPr>
        <w:t xml:space="preserve"> </w:t>
      </w:r>
      <w:r w:rsidRPr="00AC5391">
        <w:rPr>
          <w:rFonts w:ascii="Avenir Book" w:hAnsi="Avenir Book" w:cs="Arial"/>
          <w:sz w:val="20"/>
          <w:szCs w:val="20"/>
        </w:rPr>
        <w:t xml:space="preserve">Para determinar las RDA se han utilizado </w:t>
      </w:r>
      <w:r>
        <w:rPr>
          <w:rFonts w:ascii="Avenir Book" w:hAnsi="Avenir Book" w:cs="Arial"/>
          <w:sz w:val="20"/>
          <w:szCs w:val="20"/>
        </w:rPr>
        <w:t>los valores</w:t>
      </w:r>
      <w:r w:rsidRPr="00AC5391">
        <w:rPr>
          <w:rFonts w:ascii="Avenir Book" w:hAnsi="Avenir Book" w:cs="Arial"/>
          <w:sz w:val="20"/>
          <w:szCs w:val="20"/>
        </w:rPr>
        <w:t xml:space="preserve"> </w:t>
      </w:r>
      <w:r>
        <w:rPr>
          <w:rFonts w:ascii="Avenir Book" w:hAnsi="Avenir Book" w:cs="Arial"/>
          <w:sz w:val="20"/>
          <w:szCs w:val="20"/>
        </w:rPr>
        <w:t>plasmáticos de 5-piridoxal fosfato</w:t>
      </w:r>
      <w:r w:rsidR="00265D76">
        <w:rPr>
          <w:rFonts w:ascii="Avenir Book" w:hAnsi="Avenir Book" w:cs="Arial"/>
          <w:sz w:val="20"/>
          <w:szCs w:val="20"/>
        </w:rPr>
        <w:t xml:space="preserve"> </w:t>
      </w:r>
      <w:r w:rsidR="00265D76">
        <w:rPr>
          <w:rFonts w:ascii="Avenir Book" w:hAnsi="Avenir Book" w:cs="Arial"/>
          <w:sz w:val="20"/>
          <w:szCs w:val="20"/>
        </w:rPr>
        <w:fldChar w:fldCharType="begin" w:fldLock="1"/>
      </w:r>
      <w:r w:rsidR="00B11B07">
        <w:rPr>
          <w:rFonts w:ascii="Avenir Book" w:hAnsi="Avenir Book" w:cs="Arial"/>
          <w:sz w:val="20"/>
          <w:szCs w:val="20"/>
        </w:rPr>
        <w:instrText>ADDIN CSL_CITATION { "citationItems" : [ { "id" : "ITEM-1", "itemData" : { "DOI" : "10.17226/6015", "ISBN" : "0309064112", "PMID" : "23193625", "abstract" : "This report is the second in a series that presents a comprehensive set of reference values for nutrient intakes for healthy U.S and Canadian populations. It is a product of the Food and Nutrition Board of the Institute of Medicine (IOM) working in cooperation with scientists from Canada. The report establishes a set of reference values for the B vitamins and choline to replace previously published Recommended Dietary Allowances (RDAs) for the United States and Recommended Nutrient Intakes (RNIs) for Canada. It considers evidence concerning the prevention of disease and developmental disorders along with more traditional evidence of sufficient nutrient intake; and examines data about choline, a food component that in the past has not been considered essential in the human diet. Although the reference values are based on data, the data were often scanty or drawn from studies that had limitations in addressing the question. Thus, scientific judgment was required in setting the reference values. The reasoning used is described for each nutrient in Chapters 4 through 12. Evidence concerning the use of these nutrients for the amelioration or cure of disease or disability was not considered because that was beyond the project's scope of work.", "author" : [ { "dropping-particle" : "", "family" : "Institute of Medicine (US) Standing Committee on the Scientific Evaluation of Dietary Reference Intakes and its Panel on Folate", "given" : "Other B Vitamins, and Choline", "non-dropping-particle" : "", "parse-names" : false, "suffix" : "" } ], "container-title" : "Dietary Reference Intakes for Thiamin, Riboflavin, Niacin, Vitamin B6, Folate, Vitamin B12, Pantothenic Acid, Biotin, and Choline", "id" : "ITEM-1", "issued" : { "date-parts" : [ [ "1998" ] ] }, "publisher" : "National Academies Press (US)", "title" : "Dietary Reference Intakes for Thiamin, Riboflavin, Niacin, Vitamin B6, Folate, Vitamin B12, Pantothenic Acid, Biotin, and Choline", "type" : "book" }, "uris" : [ "http://www.mendeley.com/documents/?uuid=6ff0b508-c27b-3d8f-a2c0-b16d23fb2275" ] } ], "mendeley" : { "formattedCitation" : "(3)", "plainTextFormattedCitation" : "(3)", "previouslyFormattedCitation" : "(3)" }, "properties" : { "noteIndex" : 0 }, "schema" : "https://github.com/citation-style-language/schema/raw/master/csl-citation.json" }</w:instrText>
      </w:r>
      <w:r w:rsidR="00265D76">
        <w:rPr>
          <w:rFonts w:ascii="Avenir Book" w:hAnsi="Avenir Book" w:cs="Arial"/>
          <w:sz w:val="20"/>
          <w:szCs w:val="20"/>
        </w:rPr>
        <w:fldChar w:fldCharType="separate"/>
      </w:r>
      <w:r w:rsidR="00265D76" w:rsidRPr="00265D76">
        <w:rPr>
          <w:rFonts w:ascii="Avenir Book" w:hAnsi="Avenir Book" w:cs="Arial"/>
          <w:noProof/>
          <w:sz w:val="20"/>
          <w:szCs w:val="20"/>
        </w:rPr>
        <w:t>(3)</w:t>
      </w:r>
      <w:r w:rsidR="00265D76">
        <w:rPr>
          <w:rFonts w:ascii="Avenir Book" w:hAnsi="Avenir Book" w:cs="Arial"/>
          <w:sz w:val="20"/>
          <w:szCs w:val="20"/>
        </w:rPr>
        <w:fldChar w:fldCharType="end"/>
      </w:r>
      <w:r w:rsidR="00265D76">
        <w:rPr>
          <w:rFonts w:ascii="Avenir Book" w:hAnsi="Avenir Book" w:cs="Arial"/>
          <w:sz w:val="20"/>
          <w:szCs w:val="20"/>
        </w:rPr>
        <w:t>.</w:t>
      </w:r>
    </w:p>
    <w:p w14:paraId="4A4AAE3A" w14:textId="77777777" w:rsidR="004E7AB7" w:rsidRPr="003067E0" w:rsidRDefault="004E7AB7" w:rsidP="004E7AB7">
      <w:pPr>
        <w:spacing w:line="276" w:lineRule="auto"/>
        <w:rPr>
          <w:rFonts w:ascii="Avenir Book" w:hAnsi="Avenir Book" w:cs="Arial"/>
          <w:sz w:val="20"/>
          <w:szCs w:val="20"/>
        </w:rPr>
      </w:pPr>
    </w:p>
    <w:p w14:paraId="2E0ABE70" w14:textId="77777777" w:rsidR="00F44CFC" w:rsidRPr="003067E0" w:rsidRDefault="00F44CFC" w:rsidP="00F44CFC">
      <w:pPr>
        <w:spacing w:line="276" w:lineRule="auto"/>
        <w:rPr>
          <w:rFonts w:ascii="Avenir Book" w:hAnsi="Avenir Book" w:cs="Arial"/>
          <w:b/>
          <w:sz w:val="20"/>
          <w:szCs w:val="20"/>
        </w:rPr>
      </w:pPr>
      <w:r w:rsidRPr="003067E0">
        <w:rPr>
          <w:rFonts w:ascii="Avenir Book" w:hAnsi="Avenir Book" w:cs="Arial"/>
          <w:b/>
          <w:sz w:val="20"/>
          <w:szCs w:val="20"/>
        </w:rPr>
        <w:t xml:space="preserve">Exceso  </w:t>
      </w:r>
    </w:p>
    <w:p w14:paraId="6D38A095" w14:textId="706AAD9D" w:rsidR="00F44CFC" w:rsidRPr="00E651AC" w:rsidRDefault="00F44CFC" w:rsidP="00F44CFC">
      <w:pPr>
        <w:spacing w:line="276" w:lineRule="auto"/>
        <w:rPr>
          <w:rFonts w:ascii="Avenir Book" w:hAnsi="Avenir Book" w:cs="Arial"/>
          <w:b/>
          <w:sz w:val="20"/>
          <w:szCs w:val="20"/>
          <w:vertAlign w:val="superscript"/>
        </w:rPr>
      </w:pPr>
      <w:r>
        <w:rPr>
          <w:rFonts w:ascii="Avenir Book" w:hAnsi="Avenir Book" w:cs="Arial"/>
          <w:b/>
          <w:sz w:val="20"/>
          <w:szCs w:val="20"/>
        </w:rPr>
        <w:t xml:space="preserve">Límite de tolerancia:  </w:t>
      </w:r>
    </w:p>
    <w:p w14:paraId="3C499A0D" w14:textId="1A27C7C8" w:rsidR="00265D76" w:rsidRDefault="00265D76" w:rsidP="004E7AB7">
      <w:pPr>
        <w:widowControl w:val="0"/>
        <w:autoSpaceDE w:val="0"/>
        <w:autoSpaceDN w:val="0"/>
        <w:adjustRightInd w:val="0"/>
        <w:spacing w:line="276" w:lineRule="auto"/>
        <w:rPr>
          <w:rFonts w:ascii="Avenir Book" w:hAnsi="Avenir Book" w:cs="Gill Sans"/>
          <w:sz w:val="20"/>
          <w:szCs w:val="20"/>
          <w:vertAlign w:val="superscript"/>
          <w:lang w:val="pt-BR"/>
        </w:rPr>
      </w:pPr>
      <w:r w:rsidRPr="00C23174">
        <w:rPr>
          <w:rFonts w:ascii="Avenir Book" w:hAnsi="Avenir Book" w:cs="Gill Sans"/>
          <w:sz w:val="20"/>
          <w:szCs w:val="20"/>
          <w:lang w:val="pt-BR"/>
        </w:rPr>
        <w:t xml:space="preserve">Valor UL para adultos </w:t>
      </w:r>
      <w:r w:rsidRPr="00F957A7">
        <w:rPr>
          <w:rFonts w:ascii="Avenir Book" w:hAnsi="Avenir Book" w:cs="Gill Sans"/>
          <w:sz w:val="20"/>
          <w:szCs w:val="20"/>
          <w:lang w:val="es-ES"/>
        </w:rPr>
        <w:sym w:font="Wingdings" w:char="F0E0"/>
      </w:r>
      <w:r w:rsidRPr="00C23174">
        <w:rPr>
          <w:rFonts w:ascii="Avenir Book" w:hAnsi="Avenir Book" w:cs="Gill Sans"/>
          <w:sz w:val="20"/>
          <w:szCs w:val="20"/>
          <w:lang w:val="pt-BR"/>
        </w:rPr>
        <w:t xml:space="preserve"> 100</w:t>
      </w:r>
      <w:r>
        <w:rPr>
          <w:rFonts w:ascii="Avenir Book" w:hAnsi="Avenir Book" w:cs="Gill Sans"/>
          <w:sz w:val="20"/>
          <w:szCs w:val="20"/>
          <w:lang w:val="pt-BR"/>
        </w:rPr>
        <w:t xml:space="preserve"> </w:t>
      </w:r>
      <w:r w:rsidRPr="00C23174">
        <w:rPr>
          <w:rFonts w:ascii="Avenir Book" w:hAnsi="Avenir Book" w:cs="Gill Sans"/>
          <w:sz w:val="20"/>
          <w:szCs w:val="20"/>
          <w:lang w:val="pt-BR"/>
        </w:rPr>
        <w:t>mg/dia</w:t>
      </w:r>
      <w:r>
        <w:rPr>
          <w:rFonts w:ascii="Avenir Book" w:hAnsi="Avenir Book" w:cs="Gill Sans"/>
          <w:sz w:val="20"/>
          <w:szCs w:val="20"/>
          <w:lang w:val="pt-BR"/>
        </w:rPr>
        <w:t xml:space="preserve"> </w:t>
      </w:r>
      <w:r>
        <w:rPr>
          <w:rFonts w:ascii="Avenir Book" w:hAnsi="Avenir Book" w:cs="Gill Sans"/>
          <w:sz w:val="20"/>
          <w:szCs w:val="20"/>
          <w:lang w:val="pt-BR"/>
        </w:rPr>
        <w:fldChar w:fldCharType="begin" w:fldLock="1"/>
      </w:r>
      <w:r>
        <w:rPr>
          <w:rFonts w:ascii="Avenir Book" w:hAnsi="Avenir Book" w:cs="Gill Sans"/>
          <w:sz w:val="20"/>
          <w:szCs w:val="20"/>
          <w:lang w:val="pt-BR"/>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Pr>
          <w:rFonts w:ascii="Avenir Book" w:hAnsi="Avenir Book" w:cs="Gill Sans"/>
          <w:sz w:val="20"/>
          <w:szCs w:val="20"/>
          <w:lang w:val="pt-BR"/>
        </w:rPr>
        <w:fldChar w:fldCharType="separate"/>
      </w:r>
      <w:r w:rsidRPr="00265D76">
        <w:rPr>
          <w:rFonts w:ascii="Avenir Book" w:hAnsi="Avenir Book" w:cs="Gill Sans"/>
          <w:noProof/>
          <w:sz w:val="20"/>
          <w:szCs w:val="20"/>
          <w:lang w:val="pt-BR"/>
        </w:rPr>
        <w:t>(1)</w:t>
      </w:r>
      <w:r>
        <w:rPr>
          <w:rFonts w:ascii="Avenir Book" w:hAnsi="Avenir Book" w:cs="Gill Sans"/>
          <w:sz w:val="20"/>
          <w:szCs w:val="20"/>
          <w:lang w:val="pt-BR"/>
        </w:rPr>
        <w:fldChar w:fldCharType="end"/>
      </w:r>
      <w:r w:rsidR="00A47529">
        <w:rPr>
          <w:rFonts w:ascii="Avenir Book" w:hAnsi="Avenir Book" w:cs="Gill Sans"/>
          <w:sz w:val="20"/>
          <w:szCs w:val="20"/>
          <w:lang w:val="pt-BR"/>
        </w:rPr>
        <w:t>.</w:t>
      </w:r>
    </w:p>
    <w:p w14:paraId="224DB176" w14:textId="68C369A9" w:rsidR="004E7AB7" w:rsidRPr="00D7497C" w:rsidRDefault="004E7AB7" w:rsidP="004E7AB7">
      <w:pPr>
        <w:widowControl w:val="0"/>
        <w:autoSpaceDE w:val="0"/>
        <w:autoSpaceDN w:val="0"/>
        <w:adjustRightInd w:val="0"/>
        <w:spacing w:line="276" w:lineRule="auto"/>
        <w:rPr>
          <w:rFonts w:ascii="Avenir Book" w:hAnsi="Avenir Book" w:cs="Times"/>
          <w:sz w:val="20"/>
          <w:szCs w:val="20"/>
          <w:lang w:val="es-ES"/>
        </w:rPr>
      </w:pPr>
      <w:r w:rsidRPr="00D7497C">
        <w:rPr>
          <w:rFonts w:ascii="Avenir Book" w:hAnsi="Avenir Book" w:cs="Gill Sans"/>
          <w:sz w:val="20"/>
          <w:szCs w:val="20"/>
          <w:lang w:val="es-ES"/>
        </w:rPr>
        <w:t xml:space="preserve">La </w:t>
      </w:r>
      <w:r w:rsidR="00A47529">
        <w:rPr>
          <w:rFonts w:ascii="Avenir Book" w:hAnsi="Avenir Book" w:cs="Gill Sans"/>
          <w:sz w:val="20"/>
          <w:szCs w:val="20"/>
          <w:lang w:val="es-ES"/>
        </w:rPr>
        <w:t>ingesta</w:t>
      </w:r>
      <w:r w:rsidRPr="00D7497C">
        <w:rPr>
          <w:rFonts w:ascii="Avenir Book" w:hAnsi="Avenir Book" w:cs="Gill Sans"/>
          <w:sz w:val="20"/>
          <w:szCs w:val="20"/>
          <w:lang w:val="es-ES"/>
        </w:rPr>
        <w:t xml:space="preserve"> excesiva de piridoxina</w:t>
      </w:r>
      <w:r>
        <w:rPr>
          <w:rFonts w:ascii="Avenir Book" w:hAnsi="Avenir Book" w:cs="Gill Sans"/>
          <w:sz w:val="20"/>
          <w:szCs w:val="20"/>
          <w:lang w:val="es-ES"/>
        </w:rPr>
        <w:t xml:space="preserve"> </w:t>
      </w:r>
      <w:r w:rsidRPr="00D7497C">
        <w:rPr>
          <w:rFonts w:ascii="Avenir Book" w:hAnsi="Avenir Book" w:cs="Gill Sans"/>
          <w:sz w:val="20"/>
          <w:szCs w:val="20"/>
          <w:lang w:val="es-ES"/>
        </w:rPr>
        <w:t>puede producir efectos tóxicos, concretamente neuropatía periférica</w:t>
      </w:r>
      <w:r w:rsidR="00E62774">
        <w:rPr>
          <w:rFonts w:ascii="Avenir Book" w:hAnsi="Avenir Book" w:cs="Gill Sans"/>
          <w:sz w:val="20"/>
          <w:szCs w:val="20"/>
          <w:vertAlign w:val="superscript"/>
          <w:lang w:val="es-ES"/>
        </w:rPr>
        <w:t xml:space="preserve"> </w:t>
      </w:r>
      <w:r w:rsidR="00E62774">
        <w:rPr>
          <w:rFonts w:ascii="Avenir Book" w:hAnsi="Avenir Book" w:cs="Times"/>
          <w:sz w:val="20"/>
          <w:szCs w:val="20"/>
          <w:lang w:val="es-ES"/>
        </w:rPr>
        <w:fldChar w:fldCharType="begin" w:fldLock="1"/>
      </w:r>
      <w:r w:rsidR="00E62774">
        <w:rPr>
          <w:rFonts w:ascii="Avenir Book" w:hAnsi="Avenir Book" w:cs="Times"/>
          <w:sz w:val="20"/>
          <w:szCs w:val="20"/>
          <w:lang w:val="es-ES"/>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sidR="00E62774">
        <w:rPr>
          <w:rFonts w:ascii="Avenir Book" w:hAnsi="Avenir Book" w:cs="Times"/>
          <w:sz w:val="20"/>
          <w:szCs w:val="20"/>
          <w:lang w:val="es-ES"/>
        </w:rPr>
        <w:fldChar w:fldCharType="separate"/>
      </w:r>
      <w:r w:rsidR="00E62774" w:rsidRPr="00E62774">
        <w:rPr>
          <w:rFonts w:ascii="Avenir Book" w:hAnsi="Avenir Book" w:cs="Times"/>
          <w:noProof/>
          <w:sz w:val="20"/>
          <w:szCs w:val="20"/>
          <w:lang w:val="es-ES"/>
        </w:rPr>
        <w:t>(1)</w:t>
      </w:r>
      <w:r w:rsidR="00E62774">
        <w:rPr>
          <w:rFonts w:ascii="Avenir Book" w:hAnsi="Avenir Book" w:cs="Times"/>
          <w:sz w:val="20"/>
          <w:szCs w:val="20"/>
          <w:lang w:val="es-ES"/>
        </w:rPr>
        <w:fldChar w:fldCharType="end"/>
      </w:r>
      <w:r w:rsidR="00E62774">
        <w:rPr>
          <w:rFonts w:ascii="Avenir Book" w:hAnsi="Avenir Book" w:cs="Times"/>
          <w:sz w:val="20"/>
          <w:szCs w:val="20"/>
          <w:lang w:val="es-ES"/>
        </w:rPr>
        <w:fldChar w:fldCharType="begin" w:fldLock="1"/>
      </w:r>
      <w:r w:rsidR="00E632A8">
        <w:rPr>
          <w:rFonts w:ascii="Avenir Book" w:hAnsi="Avenir Book" w:cs="Time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E62774">
        <w:rPr>
          <w:rFonts w:ascii="Avenir Book" w:hAnsi="Avenir Book" w:cs="Times"/>
          <w:sz w:val="20"/>
          <w:szCs w:val="20"/>
          <w:lang w:val="es-ES"/>
        </w:rPr>
        <w:fldChar w:fldCharType="separate"/>
      </w:r>
      <w:r w:rsidR="00E62774" w:rsidRPr="00E62774">
        <w:rPr>
          <w:rFonts w:ascii="Avenir Book" w:hAnsi="Avenir Book" w:cs="Times"/>
          <w:noProof/>
          <w:sz w:val="20"/>
          <w:szCs w:val="20"/>
          <w:lang w:val="es-ES"/>
        </w:rPr>
        <w:t>(2)</w:t>
      </w:r>
      <w:r w:rsidR="00E62774">
        <w:rPr>
          <w:rFonts w:ascii="Avenir Book" w:hAnsi="Avenir Book" w:cs="Times"/>
          <w:sz w:val="20"/>
          <w:szCs w:val="20"/>
          <w:lang w:val="es-ES"/>
        </w:rPr>
        <w:fldChar w:fldCharType="end"/>
      </w:r>
      <w:r w:rsidR="00E62774">
        <w:rPr>
          <w:rFonts w:ascii="Avenir Book" w:hAnsi="Avenir Book" w:cs="Times"/>
          <w:sz w:val="20"/>
          <w:szCs w:val="20"/>
          <w:lang w:val="es-ES"/>
        </w:rPr>
        <w:t>.</w:t>
      </w:r>
    </w:p>
    <w:p w14:paraId="0AD49D0F" w14:textId="217F0BD8" w:rsidR="004E7AB7" w:rsidRDefault="004E7AB7" w:rsidP="00265D76">
      <w:pPr>
        <w:widowControl w:val="0"/>
        <w:autoSpaceDE w:val="0"/>
        <w:autoSpaceDN w:val="0"/>
        <w:adjustRightInd w:val="0"/>
        <w:spacing w:after="240"/>
        <w:rPr>
          <w:rFonts w:ascii="Avenir Book" w:hAnsi="Avenir Book" w:cs="Gill Sans"/>
          <w:sz w:val="20"/>
          <w:szCs w:val="20"/>
          <w:lang w:val="es-ES"/>
        </w:rPr>
      </w:pPr>
      <w:r>
        <w:rPr>
          <w:rFonts w:ascii="Avenir Book" w:hAnsi="Avenir Book" w:cs="Gill Sans"/>
          <w:sz w:val="20"/>
          <w:szCs w:val="20"/>
          <w:lang w:val="es-ES"/>
        </w:rPr>
        <w:tab/>
      </w:r>
    </w:p>
    <w:p w14:paraId="440A5AAD" w14:textId="77777777" w:rsidR="00061D12" w:rsidRDefault="00061D12" w:rsidP="00265D76">
      <w:pPr>
        <w:widowControl w:val="0"/>
        <w:autoSpaceDE w:val="0"/>
        <w:autoSpaceDN w:val="0"/>
        <w:adjustRightInd w:val="0"/>
        <w:spacing w:after="240"/>
        <w:rPr>
          <w:rFonts w:ascii="Avenir Book" w:hAnsi="Avenir Book" w:cs="Gill Sans"/>
          <w:sz w:val="20"/>
          <w:szCs w:val="20"/>
          <w:lang w:val="es-ES"/>
        </w:rPr>
      </w:pPr>
    </w:p>
    <w:p w14:paraId="5C4585B9" w14:textId="77777777" w:rsidR="00061D12" w:rsidRPr="00265D76" w:rsidRDefault="00061D12" w:rsidP="00265D76">
      <w:pPr>
        <w:widowControl w:val="0"/>
        <w:autoSpaceDE w:val="0"/>
        <w:autoSpaceDN w:val="0"/>
        <w:adjustRightInd w:val="0"/>
        <w:spacing w:after="240"/>
        <w:rPr>
          <w:rFonts w:ascii="Avenir Book" w:hAnsi="Avenir Book" w:cs="Times"/>
          <w:noProof/>
          <w:sz w:val="20"/>
          <w:szCs w:val="20"/>
          <w:lang w:val="pt-BR"/>
        </w:rPr>
      </w:pPr>
    </w:p>
    <w:p w14:paraId="199A0FB5" w14:textId="77777777" w:rsidR="00F44CFC" w:rsidRPr="00AC4499" w:rsidRDefault="00F44CFC" w:rsidP="00F44CFC">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4. Tratamiento nutricional + suplementación</w:t>
      </w:r>
    </w:p>
    <w:p w14:paraId="018DCFDB" w14:textId="030F2A31" w:rsidR="008D696E" w:rsidRPr="004E099D" w:rsidRDefault="008D696E" w:rsidP="008D696E">
      <w:pPr>
        <w:widowControl w:val="0"/>
        <w:autoSpaceDE w:val="0"/>
        <w:autoSpaceDN w:val="0"/>
        <w:adjustRightInd w:val="0"/>
        <w:spacing w:after="240" w:line="276" w:lineRule="auto"/>
        <w:rPr>
          <w:rFonts w:ascii="Avenir Book" w:hAnsi="Avenir Book" w:cs="Times"/>
          <w:sz w:val="20"/>
          <w:szCs w:val="20"/>
          <w:lang w:val="es-ES"/>
        </w:rPr>
      </w:pPr>
      <w:r w:rsidRPr="002873E9">
        <w:rPr>
          <w:rFonts w:ascii="Avenir Book" w:hAnsi="Avenir Book" w:cs="Times"/>
          <w:b/>
          <w:sz w:val="20"/>
          <w:szCs w:val="20"/>
          <w:lang w:val="es-ES"/>
        </w:rPr>
        <w:t>A nivel hospitalario</w:t>
      </w:r>
      <w:r>
        <w:rPr>
          <w:rFonts w:ascii="Avenir Book" w:hAnsi="Avenir Book" w:cs="Times"/>
          <w:sz w:val="20"/>
          <w:szCs w:val="20"/>
          <w:lang w:val="es-ES"/>
        </w:rPr>
        <w:t xml:space="preserve"> el</w:t>
      </w:r>
      <w:r w:rsidRPr="001C52E4">
        <w:rPr>
          <w:rFonts w:ascii="Avenir Book" w:hAnsi="Avenir Book" w:cs="Times"/>
          <w:sz w:val="20"/>
          <w:szCs w:val="20"/>
          <w:lang w:val="es-ES"/>
        </w:rPr>
        <w:t xml:space="preserve"> tratamiento del déficit </w:t>
      </w:r>
      <w:r>
        <w:rPr>
          <w:rFonts w:ascii="Avenir Book" w:hAnsi="Avenir Book" w:cs="Times"/>
          <w:sz w:val="20"/>
          <w:szCs w:val="20"/>
          <w:lang w:val="es-ES"/>
        </w:rPr>
        <w:t xml:space="preserve">de </w:t>
      </w:r>
      <w:r w:rsidR="00DE5F1C">
        <w:rPr>
          <w:rFonts w:ascii="Avenir Book" w:hAnsi="Avenir Book" w:cs="Times"/>
          <w:sz w:val="20"/>
          <w:szCs w:val="20"/>
          <w:lang w:val="es-ES"/>
        </w:rPr>
        <w:t>vitamina B6 cuenta</w:t>
      </w:r>
      <w:r w:rsidR="00DE5F1C" w:rsidRPr="001E5D5C">
        <w:rPr>
          <w:rFonts w:ascii="Avenir Book" w:hAnsi="Avenir Book" w:cs="Times"/>
          <w:sz w:val="20"/>
          <w:szCs w:val="20"/>
          <w:lang w:val="es-ES"/>
        </w:rPr>
        <w:t xml:space="preserve"> con</w:t>
      </w:r>
      <w:r w:rsidR="00DE5F1C">
        <w:rPr>
          <w:rFonts w:ascii="Avenir Book" w:hAnsi="Avenir Book" w:cs="Times"/>
          <w:sz w:val="20"/>
          <w:szCs w:val="20"/>
          <w:lang w:val="es-ES"/>
        </w:rPr>
        <w:t xml:space="preserve"> la suplementación de</w:t>
      </w:r>
      <w:r w:rsidR="00DE5F1C" w:rsidRPr="001E5D5C">
        <w:rPr>
          <w:rFonts w:ascii="Avenir Book" w:hAnsi="Avenir Book" w:cs="Times"/>
          <w:sz w:val="20"/>
          <w:szCs w:val="20"/>
          <w:lang w:val="es-ES"/>
        </w:rPr>
        <w:t xml:space="preserve"> 50-100 mg di</w:t>
      </w:r>
      <w:r w:rsidR="00DE5F1C">
        <w:rPr>
          <w:rFonts w:ascii="Avenir Book" w:hAnsi="Avenir Book" w:cs="Times"/>
          <w:sz w:val="20"/>
          <w:szCs w:val="20"/>
          <w:lang w:val="es-ES"/>
        </w:rPr>
        <w:t>a</w:t>
      </w:r>
      <w:r w:rsidR="00DE5F1C" w:rsidRPr="001E5D5C">
        <w:rPr>
          <w:rFonts w:ascii="Avenir Book" w:hAnsi="Avenir Book" w:cs="Times"/>
          <w:sz w:val="20"/>
          <w:szCs w:val="20"/>
          <w:lang w:val="es-ES"/>
        </w:rPr>
        <w:t>rios durante 3 semanas</w:t>
      </w:r>
      <w:r w:rsidR="00DE5F1C">
        <w:rPr>
          <w:rFonts w:ascii="Avenir Book" w:hAnsi="Avenir Book" w:cs="Times"/>
          <w:sz w:val="20"/>
          <w:szCs w:val="20"/>
          <w:lang w:val="es-ES"/>
        </w:rPr>
        <w:t xml:space="preserve"> </w:t>
      </w:r>
      <w:r w:rsidR="00DE5F1C">
        <w:rPr>
          <w:rFonts w:ascii="Avenir Book" w:hAnsi="Avenir Book" w:cs="Times"/>
          <w:sz w:val="20"/>
          <w:szCs w:val="20"/>
          <w:lang w:val="es-ES"/>
        </w:rPr>
        <w:fldChar w:fldCharType="begin" w:fldLock="1"/>
      </w:r>
      <w:r w:rsidR="00E35345">
        <w:rPr>
          <w:rFonts w:ascii="Avenir Book" w:hAnsi="Avenir Book" w:cs="Times"/>
          <w:sz w:val="20"/>
          <w:szCs w:val="20"/>
          <w:lang w:val="es-ES"/>
        </w:rPr>
        <w:instrText>ADDIN CSL_CITATION { "citationItems" : [ { "id" : "ITEM-1", "itemData" : { "ISBN" : "978-84-9835-346-4", "author" : [ { "dropping-particle" : "", "family" : "S\u00e1nchez de Medina", "given" : "F.", "non-dropping-particle" : "", "parse-names" : false, "suffix" : "" } ], "container-title" : "Tratado de Nutrici\u00f3n", "edition" : "2\u00aa", "editor" : [ { "dropping-particle" : "", "family" : "Panamericana Ed", "given" : "", "non-dropping-particle" : "", "parse-names" : false, "suffix" : "" } ], "id" : "ITEM-1", "issued" : { "date-parts" : [ [ "2010" ] ] }, "page" : "963", "title" : "Bases Fisiol\u00f3gicas y Bioqu\u00edmicas de la Nutrici\u00f3n", "type" : "chapter" }, "uris" : [ "http://www.mendeley.com/documents/?uuid=b3181063-c6bf-3d0d-a804-1ba3571aa26c" ] } ], "mendeley" : { "formattedCitation" : "(2)", "plainTextFormattedCitation" : "(2)", "previouslyFormattedCitation" : "(2)" }, "properties" : { "noteIndex" : 0 }, "schema" : "https://github.com/citation-style-language/schema/raw/master/csl-citation.json" }</w:instrText>
      </w:r>
      <w:r w:rsidR="00DE5F1C">
        <w:rPr>
          <w:rFonts w:ascii="Avenir Book" w:hAnsi="Avenir Book" w:cs="Times"/>
          <w:sz w:val="20"/>
          <w:szCs w:val="20"/>
          <w:lang w:val="es-ES"/>
        </w:rPr>
        <w:fldChar w:fldCharType="separate"/>
      </w:r>
      <w:r w:rsidR="00DE5F1C" w:rsidRPr="00DE5F1C">
        <w:rPr>
          <w:rFonts w:ascii="Avenir Book" w:hAnsi="Avenir Book" w:cs="Times"/>
          <w:noProof/>
          <w:sz w:val="20"/>
          <w:szCs w:val="20"/>
          <w:lang w:val="es-ES"/>
        </w:rPr>
        <w:t>(2)</w:t>
      </w:r>
      <w:r w:rsidR="00DE5F1C">
        <w:rPr>
          <w:rFonts w:ascii="Avenir Book" w:hAnsi="Avenir Book" w:cs="Times"/>
          <w:sz w:val="20"/>
          <w:szCs w:val="20"/>
          <w:lang w:val="es-ES"/>
        </w:rPr>
        <w:fldChar w:fldCharType="end"/>
      </w:r>
      <w:r w:rsidR="00DE5F1C">
        <w:rPr>
          <w:rFonts w:ascii="Avenir Book" w:hAnsi="Avenir Book" w:cs="Times"/>
          <w:sz w:val="20"/>
          <w:szCs w:val="20"/>
          <w:lang w:val="es-ES"/>
        </w:rPr>
        <w:t>.</w:t>
      </w:r>
    </w:p>
    <w:p w14:paraId="386BC5F9" w14:textId="77777777" w:rsidR="008D696E" w:rsidRDefault="008D696E" w:rsidP="008D696E">
      <w:pPr>
        <w:spacing w:line="276" w:lineRule="auto"/>
        <w:rPr>
          <w:rFonts w:ascii="Avenir Book" w:hAnsi="Avenir Book" w:cs="Times"/>
          <w:sz w:val="20"/>
          <w:szCs w:val="20"/>
          <w:lang w:val="es-ES"/>
        </w:rPr>
      </w:pPr>
      <w:r w:rsidRPr="002873E9">
        <w:rPr>
          <w:rFonts w:ascii="Avenir Book" w:hAnsi="Avenir Book" w:cs="Times"/>
          <w:b/>
          <w:sz w:val="20"/>
          <w:szCs w:val="20"/>
          <w:lang w:val="es-ES"/>
        </w:rPr>
        <w:t>A nivel de consulta</w:t>
      </w:r>
      <w:r>
        <w:rPr>
          <w:rFonts w:ascii="Avenir Book" w:hAnsi="Avenir Book" w:cs="Times"/>
          <w:b/>
          <w:sz w:val="20"/>
          <w:szCs w:val="20"/>
          <w:lang w:val="es-ES"/>
        </w:rPr>
        <w:t xml:space="preserve">, </w:t>
      </w:r>
      <w:r>
        <w:rPr>
          <w:rFonts w:ascii="Avenir Book" w:hAnsi="Avenir Book" w:cs="Times"/>
          <w:sz w:val="20"/>
          <w:szCs w:val="20"/>
          <w:lang w:val="es-ES"/>
        </w:rPr>
        <w:t>aún sabiendo que un déficit de tiamina es muy poco habitual,</w:t>
      </w:r>
      <w:r w:rsidRPr="002873E9">
        <w:rPr>
          <w:rFonts w:ascii="Avenir Book" w:hAnsi="Avenir Book" w:cs="Times"/>
          <w:b/>
          <w:sz w:val="20"/>
          <w:szCs w:val="20"/>
          <w:lang w:val="es-ES"/>
        </w:rPr>
        <w:t xml:space="preserve"> </w:t>
      </w:r>
      <w:r>
        <w:rPr>
          <w:rFonts w:ascii="Avenir Book" w:hAnsi="Avenir Book" w:cs="Times"/>
          <w:sz w:val="20"/>
          <w:szCs w:val="20"/>
          <w:lang w:val="es-ES"/>
        </w:rPr>
        <w:t>puede ser de ayuda tener en cuenta que:</w:t>
      </w:r>
    </w:p>
    <w:p w14:paraId="2B3C5E4F" w14:textId="5C0A98EF" w:rsidR="00DE5F1C" w:rsidRPr="00DE5F1C" w:rsidRDefault="008D696E" w:rsidP="00DE5F1C">
      <w:pPr>
        <w:pStyle w:val="Prrafodelista"/>
        <w:numPr>
          <w:ilvl w:val="0"/>
          <w:numId w:val="1"/>
        </w:numPr>
        <w:spacing w:line="276" w:lineRule="auto"/>
        <w:rPr>
          <w:rFonts w:ascii="Avenir Book" w:hAnsi="Avenir Book" w:cs="Arial"/>
          <w:b/>
          <w:sz w:val="20"/>
          <w:szCs w:val="20"/>
        </w:rPr>
      </w:pPr>
      <w:r w:rsidRPr="00DE5F1C">
        <w:rPr>
          <w:rFonts w:ascii="Avenir Book" w:hAnsi="Avenir Book"/>
          <w:sz w:val="20"/>
          <w:szCs w:val="20"/>
        </w:rPr>
        <w:t xml:space="preserve">Las principales fuentes alimentarias que contribuyen a la ingesta de </w:t>
      </w:r>
      <w:r w:rsidR="00E35345">
        <w:rPr>
          <w:rFonts w:ascii="Avenir Book" w:hAnsi="Avenir Book"/>
          <w:sz w:val="20"/>
          <w:szCs w:val="20"/>
        </w:rPr>
        <w:t>piridoxina</w:t>
      </w:r>
      <w:r w:rsidRPr="00DE5F1C">
        <w:rPr>
          <w:rFonts w:ascii="Avenir Book" w:hAnsi="Avenir Book"/>
          <w:sz w:val="20"/>
          <w:szCs w:val="20"/>
        </w:rPr>
        <w:t xml:space="preserve"> son: </w:t>
      </w:r>
      <w:r w:rsidR="00FB18B4">
        <w:rPr>
          <w:rFonts w:ascii="Avenir Book" w:hAnsi="Avenir Book"/>
          <w:sz w:val="20"/>
          <w:szCs w:val="20"/>
        </w:rPr>
        <w:t xml:space="preserve">carne y pescado, legumbres, </w:t>
      </w:r>
      <w:r w:rsidR="00E35345">
        <w:rPr>
          <w:rFonts w:ascii="Avenir Book" w:hAnsi="Avenir Book"/>
          <w:sz w:val="20"/>
          <w:szCs w:val="20"/>
        </w:rPr>
        <w:t>ceral</w:t>
      </w:r>
      <w:r w:rsidR="00C23DB2">
        <w:rPr>
          <w:rFonts w:ascii="Avenir Book" w:hAnsi="Avenir Book"/>
          <w:sz w:val="20"/>
          <w:szCs w:val="20"/>
        </w:rPr>
        <w:t xml:space="preserve">es integrales, </w:t>
      </w:r>
      <w:r w:rsidR="0023196F">
        <w:rPr>
          <w:rFonts w:ascii="Avenir Book" w:hAnsi="Avenir Book"/>
          <w:sz w:val="20"/>
          <w:szCs w:val="20"/>
        </w:rPr>
        <w:t>pistach</w:t>
      </w:r>
      <w:r w:rsidR="00C23DB2">
        <w:rPr>
          <w:rFonts w:ascii="Avenir Book" w:hAnsi="Avenir Book"/>
          <w:sz w:val="20"/>
          <w:szCs w:val="20"/>
        </w:rPr>
        <w:t>os, semillas y patatas</w:t>
      </w:r>
      <w:r w:rsidR="00E35345">
        <w:rPr>
          <w:rFonts w:ascii="Avenir Book" w:hAnsi="Avenir Book"/>
          <w:sz w:val="20"/>
          <w:szCs w:val="20"/>
        </w:rPr>
        <w:t xml:space="preserve"> </w:t>
      </w:r>
      <w:r w:rsidR="0023196F">
        <w:rPr>
          <w:rFonts w:ascii="Avenir Book" w:hAnsi="Avenir Book"/>
          <w:sz w:val="20"/>
          <w:szCs w:val="20"/>
        </w:rPr>
        <w:fldChar w:fldCharType="begin" w:fldLock="1"/>
      </w:r>
      <w:r w:rsidR="00FB18B4">
        <w:rPr>
          <w:rFonts w:ascii="Avenir Book" w:hAnsi="Avenir Book"/>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sidR="0023196F">
        <w:rPr>
          <w:rFonts w:ascii="Avenir Book" w:hAnsi="Avenir Book"/>
          <w:sz w:val="20"/>
          <w:szCs w:val="20"/>
        </w:rPr>
        <w:fldChar w:fldCharType="separate"/>
      </w:r>
      <w:r w:rsidR="0023196F" w:rsidRPr="0023196F">
        <w:rPr>
          <w:rFonts w:ascii="Avenir Book" w:hAnsi="Avenir Book"/>
          <w:noProof/>
          <w:sz w:val="20"/>
          <w:szCs w:val="20"/>
        </w:rPr>
        <w:t>(1)</w:t>
      </w:r>
      <w:r w:rsidR="0023196F">
        <w:rPr>
          <w:rFonts w:ascii="Avenir Book" w:hAnsi="Avenir Book"/>
          <w:sz w:val="20"/>
          <w:szCs w:val="20"/>
        </w:rPr>
        <w:fldChar w:fldCharType="end"/>
      </w:r>
      <w:r w:rsidR="00FB18B4">
        <w:rPr>
          <w:rFonts w:ascii="Avenir Book" w:hAnsi="Avenir Book"/>
          <w:sz w:val="20"/>
          <w:szCs w:val="20"/>
        </w:rPr>
        <w:fldChar w:fldCharType="begin" w:fldLock="1"/>
      </w:r>
      <w:r w:rsidR="00CC7944">
        <w:rPr>
          <w:rFonts w:ascii="Avenir Book" w:hAnsi="Avenir Book"/>
          <w:sz w:val="20"/>
          <w:szCs w:val="20"/>
        </w:rPr>
        <w:instrText>ADDIN CSL_CITATION { "citationItems" : [ { "id" : "ITEM-1", "itemData" : { "URL" : "http://www.pennutrition.com/KnowledgePathway.aspx?kpid=16524&amp;trid=14318&amp;trcatid=467", "accessed" : { "date-parts" : [ [ "2017", "12", "10" ] ] }, "id" : "ITEM-1", "issued" : { "date-parts" : [ [ "0" ] ] }, "title" : "PEN: Practice-based Evidence in Nutrition. Food Sources of Vitamin B6", "type" : "webpage" }, "uris" : [ "http://www.mendeley.com/documents/?uuid=474b8e96-6605-30f4-bdeb-3b0c903831e8" ] } ], "mendeley" : { "formattedCitation" : "(5)", "plainTextFormattedCitation" : "(5)", "previouslyFormattedCitation" : "(5)" }, "properties" : { "noteIndex" : 0 }, "schema" : "https://github.com/citation-style-language/schema/raw/master/csl-citation.json" }</w:instrText>
      </w:r>
      <w:r w:rsidR="00FB18B4">
        <w:rPr>
          <w:rFonts w:ascii="Avenir Book" w:hAnsi="Avenir Book"/>
          <w:sz w:val="20"/>
          <w:szCs w:val="20"/>
        </w:rPr>
        <w:fldChar w:fldCharType="separate"/>
      </w:r>
      <w:r w:rsidR="00FB18B4" w:rsidRPr="00FB18B4">
        <w:rPr>
          <w:rFonts w:ascii="Avenir Book" w:hAnsi="Avenir Book"/>
          <w:noProof/>
          <w:sz w:val="20"/>
          <w:szCs w:val="20"/>
        </w:rPr>
        <w:t>(5)</w:t>
      </w:r>
      <w:r w:rsidR="00FB18B4">
        <w:rPr>
          <w:rFonts w:ascii="Avenir Book" w:hAnsi="Avenir Book"/>
          <w:sz w:val="20"/>
          <w:szCs w:val="20"/>
        </w:rPr>
        <w:fldChar w:fldCharType="end"/>
      </w:r>
      <w:r w:rsidR="0023196F">
        <w:rPr>
          <w:rFonts w:ascii="Avenir Book" w:hAnsi="Avenir Book"/>
          <w:sz w:val="20"/>
          <w:szCs w:val="20"/>
        </w:rPr>
        <w:t>.</w:t>
      </w:r>
      <w:r w:rsidR="004E7AB7" w:rsidRPr="00DE5F1C">
        <w:rPr>
          <w:rFonts w:ascii="Avenir Book" w:hAnsi="Avenir Book" w:cs="Arial"/>
          <w:b/>
          <w:sz w:val="20"/>
          <w:szCs w:val="20"/>
        </w:rPr>
        <w:t xml:space="preserve"> </w:t>
      </w:r>
    </w:p>
    <w:p w14:paraId="772DBFCA" w14:textId="382B50CB" w:rsidR="00CC7944" w:rsidRPr="00061D12" w:rsidRDefault="00CC7944" w:rsidP="00DE5F1C">
      <w:pPr>
        <w:pStyle w:val="Prrafodelista"/>
        <w:numPr>
          <w:ilvl w:val="0"/>
          <w:numId w:val="1"/>
        </w:numPr>
        <w:spacing w:line="276" w:lineRule="auto"/>
        <w:rPr>
          <w:rFonts w:ascii="Avenir Book" w:hAnsi="Avenir Book" w:cs="Arial"/>
          <w:b/>
          <w:sz w:val="20"/>
          <w:szCs w:val="20"/>
        </w:rPr>
      </w:pPr>
      <w:r>
        <w:rPr>
          <w:rFonts w:ascii="Avenir Book" w:hAnsi="Avenir Book" w:cs="Arial"/>
          <w:sz w:val="20"/>
          <w:szCs w:val="20"/>
        </w:rPr>
        <w:t>Con un nivel elevado de evidencia, los estudios clínicos no muestran beneficios de los suplementos de vitamina</w:t>
      </w:r>
      <w:r w:rsidR="00C23DB2">
        <w:rPr>
          <w:rFonts w:ascii="Avenir Book" w:hAnsi="Avenir Book" w:cs="Arial"/>
          <w:sz w:val="20"/>
          <w:szCs w:val="20"/>
        </w:rPr>
        <w:t>s del grupo</w:t>
      </w:r>
      <w:r>
        <w:rPr>
          <w:rFonts w:ascii="Avenir Book" w:hAnsi="Avenir Book" w:cs="Arial"/>
          <w:sz w:val="20"/>
          <w:szCs w:val="20"/>
        </w:rPr>
        <w:t xml:space="preserve"> B (B12, B6, folato o timaina) sobre la función cognitiva o el humor en adultos sanos o con deterioro cognitivo. Así pues, altas dosis de vitamina B en forma de suplementos no estan recomenadas para la prevención o la disminución del deterioro cognitivo sin una deficiencia</w:t>
      </w:r>
      <w:r w:rsidR="00C23DB2">
        <w:rPr>
          <w:rFonts w:ascii="Avenir Book" w:hAnsi="Avenir Book" w:cs="Arial"/>
          <w:sz w:val="20"/>
          <w:szCs w:val="20"/>
        </w:rPr>
        <w:t xml:space="preserve"> previa</w:t>
      </w:r>
      <w:r>
        <w:rPr>
          <w:rFonts w:ascii="Avenir Book" w:hAnsi="Avenir Book" w:cs="Arial"/>
          <w:sz w:val="20"/>
          <w:szCs w:val="20"/>
        </w:rPr>
        <w:t xml:space="preserve"> de estas </w:t>
      </w:r>
      <w:r>
        <w:rPr>
          <w:rFonts w:ascii="Avenir Book" w:hAnsi="Avenir Book" w:cs="Arial"/>
          <w:sz w:val="20"/>
          <w:szCs w:val="20"/>
        </w:rPr>
        <w:fldChar w:fldCharType="begin" w:fldLock="1"/>
      </w:r>
      <w:r>
        <w:rPr>
          <w:rFonts w:ascii="Avenir Book" w:hAnsi="Avenir Book" w:cs="Arial"/>
          <w:sz w:val="20"/>
          <w:szCs w:val="20"/>
        </w:rPr>
        <w:instrText>ADDIN CSL_CITATION { "citationItems" : [ { "id" : "ITEM-1", "itemData" : { "DOI" : "10.2903/j.efsa.2016.4485", "ISSN" : "18314732", "container-title" : "EFSA Journal", "id" : "ITEM-1", "issue" : "6", "issued" : { "date-parts" : [ [ "2016", "6" ] ] }, "title" : "Dietary Reference Values for vitamin\u00a0B6", "type" : "article-journal", "volume" : "14" }, "uris" : [ "http://www.mendeley.com/documents/?uuid=5fbbab5e-7190-3873-bbc6-6811f497155f" ] } ], "mendeley" : { "formattedCitation" : "(1)", "plainTextFormattedCitation" : "(1)", "previouslyFormattedCitation" : "(1)" }, "properties" : { "noteIndex" : 0 }, "schema" : "https://github.com/citation-style-language/schema/raw/master/csl-citation.json" }</w:instrText>
      </w:r>
      <w:r>
        <w:rPr>
          <w:rFonts w:ascii="Avenir Book" w:hAnsi="Avenir Book" w:cs="Arial"/>
          <w:sz w:val="20"/>
          <w:szCs w:val="20"/>
        </w:rPr>
        <w:fldChar w:fldCharType="separate"/>
      </w:r>
      <w:r w:rsidRPr="00E35345">
        <w:rPr>
          <w:rFonts w:ascii="Avenir Book" w:hAnsi="Avenir Book" w:cs="Arial"/>
          <w:noProof/>
          <w:sz w:val="20"/>
          <w:szCs w:val="20"/>
        </w:rPr>
        <w:t>(1)</w:t>
      </w:r>
      <w:r>
        <w:rPr>
          <w:rFonts w:ascii="Avenir Book" w:hAnsi="Avenir Book" w:cs="Arial"/>
          <w:sz w:val="20"/>
          <w:szCs w:val="20"/>
        </w:rPr>
        <w:fldChar w:fldCharType="end"/>
      </w:r>
      <w:r>
        <w:rPr>
          <w:rFonts w:ascii="Avenir Book" w:hAnsi="Avenir Book" w:cs="Arial"/>
          <w:sz w:val="20"/>
          <w:szCs w:val="20"/>
        </w:rPr>
        <w:fldChar w:fldCharType="begin" w:fldLock="1"/>
      </w:r>
      <w:r w:rsidR="00061D12">
        <w:rPr>
          <w:rFonts w:ascii="Avenir Book" w:hAnsi="Avenir Book" w:cs="Arial"/>
          <w:sz w:val="20"/>
          <w:szCs w:val="20"/>
        </w:rPr>
        <w:instrText>ADDIN CSL_CITATION { "citationItems" : [ { "id" : "ITEM-1", "itemData" : { "URL" : "http://www.pennutrition.com/KnowledgePathway.aspx?kpid=2541&amp;pqcatid=146&amp;pqid=2363", "accessed" : { "date-parts" : [ [ "2017", "12", "10" ] ] }, "id" : "ITEM-1", "issued" : { "date-parts" : [ [ "0" ] ] }, "title" : "PEN: Practice-based Evidence in Nutrition. Key Practice Points. Does vitamin B supplementation affect cognitive function and mood in healthy older adults or adults with mild to moderate dementia?", "type" : "webpage" }, "uris" : [ "http://www.mendeley.com/documents/?uuid=87d677db-905d-35eb-848f-23b4d3cfde1d" ] } ], "mendeley" : { "formattedCitation" : "(6)", "plainTextFormattedCitation" : "(6)", "previouslyFormattedCitation" : "(6)" }, "properties" : { "noteIndex" : 0 }, "schema" : "https://github.com/citation-style-language/schema/raw/master/csl-citation.json" }</w:instrText>
      </w:r>
      <w:r>
        <w:rPr>
          <w:rFonts w:ascii="Avenir Book" w:hAnsi="Avenir Book" w:cs="Arial"/>
          <w:sz w:val="20"/>
          <w:szCs w:val="20"/>
        </w:rPr>
        <w:fldChar w:fldCharType="separate"/>
      </w:r>
      <w:r w:rsidRPr="00CC7944">
        <w:rPr>
          <w:rFonts w:ascii="Avenir Book" w:hAnsi="Avenir Book" w:cs="Arial"/>
          <w:noProof/>
          <w:sz w:val="20"/>
          <w:szCs w:val="20"/>
        </w:rPr>
        <w:t>(6)</w:t>
      </w:r>
      <w:r>
        <w:rPr>
          <w:rFonts w:ascii="Avenir Book" w:hAnsi="Avenir Book" w:cs="Arial"/>
          <w:sz w:val="20"/>
          <w:szCs w:val="20"/>
        </w:rPr>
        <w:fldChar w:fldCharType="end"/>
      </w:r>
      <w:r>
        <w:rPr>
          <w:rFonts w:ascii="Avenir Book" w:hAnsi="Avenir Book" w:cs="Arial"/>
          <w:sz w:val="20"/>
          <w:szCs w:val="20"/>
        </w:rPr>
        <w:t>.</w:t>
      </w:r>
    </w:p>
    <w:p w14:paraId="6114F1C6" w14:textId="591F28BE" w:rsidR="00061D12" w:rsidRPr="00DE5F1C" w:rsidRDefault="00061D12" w:rsidP="00DE5F1C">
      <w:pPr>
        <w:pStyle w:val="Prrafodelista"/>
        <w:numPr>
          <w:ilvl w:val="0"/>
          <w:numId w:val="1"/>
        </w:numPr>
        <w:spacing w:line="276" w:lineRule="auto"/>
        <w:rPr>
          <w:rFonts w:ascii="Avenir Book" w:hAnsi="Avenir Book" w:cs="Arial"/>
          <w:b/>
          <w:sz w:val="20"/>
          <w:szCs w:val="20"/>
        </w:rPr>
      </w:pPr>
      <w:r>
        <w:rPr>
          <w:rFonts w:ascii="Avenir Book" w:hAnsi="Avenir Book" w:cs="Arial"/>
          <w:sz w:val="20"/>
          <w:szCs w:val="20"/>
        </w:rPr>
        <w:t>La suplementación con vitminas del g</w:t>
      </w:r>
      <w:r w:rsidR="00C23DB2">
        <w:rPr>
          <w:rFonts w:ascii="Avenir Book" w:hAnsi="Avenir Book" w:cs="Arial"/>
          <w:sz w:val="20"/>
          <w:szCs w:val="20"/>
        </w:rPr>
        <w:t>rupo B (ácido fólico, B12 y B6)</w:t>
      </w:r>
      <w:r>
        <w:rPr>
          <w:rFonts w:ascii="Avenir Book" w:hAnsi="Avenir Book" w:cs="Arial"/>
          <w:sz w:val="20"/>
          <w:szCs w:val="20"/>
        </w:rPr>
        <w:t xml:space="preserve"> ha mostrado disminuir los niveles de homocisteina pero no ha mostrado</w:t>
      </w:r>
      <w:r w:rsidR="00C23DB2">
        <w:rPr>
          <w:rFonts w:ascii="Avenir Book" w:hAnsi="Avenir Book" w:cs="Arial"/>
          <w:sz w:val="20"/>
          <w:szCs w:val="20"/>
        </w:rPr>
        <w:t xml:space="preserve"> tener</w:t>
      </w:r>
      <w:bookmarkStart w:id="0" w:name="_GoBack"/>
      <w:bookmarkEnd w:id="0"/>
      <w:r>
        <w:rPr>
          <w:rFonts w:ascii="Avenir Book" w:hAnsi="Avenir Book" w:cs="Arial"/>
          <w:sz w:val="20"/>
          <w:szCs w:val="20"/>
        </w:rPr>
        <w:t xml:space="preserve"> efecto sobre los eventos cardiovasculares, tanto en prevención primaria como secundaria </w:t>
      </w:r>
      <w:r>
        <w:rPr>
          <w:rFonts w:ascii="Avenir Book" w:hAnsi="Avenir Book" w:cs="Arial"/>
          <w:sz w:val="20"/>
          <w:szCs w:val="20"/>
        </w:rPr>
        <w:fldChar w:fldCharType="begin" w:fldLock="1"/>
      </w:r>
      <w:r>
        <w:rPr>
          <w:rFonts w:ascii="Avenir Book" w:hAnsi="Avenir Book" w:cs="Arial"/>
          <w:sz w:val="20"/>
          <w:szCs w:val="20"/>
        </w:rPr>
        <w:instrText>ADDIN CSL_CITATION { "citationItems" : [ { "id" : "ITEM-1", "itemData" : { "URL" : "http://www.pennutrition.com/KnowledgePathway.aspx?kpid=2671&amp;pqcatid=146&amp;pqid=2667", "accessed" : { "date-parts" : [ [ "2017", "12", "10" ] ] }, "id" : "ITEM-1", "issued" : { "date-parts" : [ [ "0" ] ] }, "title" : "PEN: Practice-based Evidence in Nutrition. Key Practice Points. Are B-vitamin supplements (e.g. folic acid, vitamin B12, B6) effective in lowering elevated homocysteine levels and beneficial in preventing cardiovascular disease (CVD) in healthy individuals (primary prevention) or individuals with pre-existing CVD (secondary prevention)?", "type" : "webpage" }, "uris" : [ "http://www.mendeley.com/documents/?uuid=f1508be1-75fd-38fb-be5c-1c97484adcfb" ] } ], "mendeley" : { "formattedCitation" : "(7)", "plainTextFormattedCitation" : "(7)", "previouslyFormattedCitation" : "(7)" }, "properties" : { "noteIndex" : 0 }, "schema" : "https://github.com/citation-style-language/schema/raw/master/csl-citation.json" }</w:instrText>
      </w:r>
      <w:r>
        <w:rPr>
          <w:rFonts w:ascii="Avenir Book" w:hAnsi="Avenir Book" w:cs="Arial"/>
          <w:sz w:val="20"/>
          <w:szCs w:val="20"/>
        </w:rPr>
        <w:fldChar w:fldCharType="separate"/>
      </w:r>
      <w:r w:rsidRPr="00061D12">
        <w:rPr>
          <w:rFonts w:ascii="Avenir Book" w:hAnsi="Avenir Book" w:cs="Arial"/>
          <w:noProof/>
          <w:sz w:val="20"/>
          <w:szCs w:val="20"/>
        </w:rPr>
        <w:t>(7)</w:t>
      </w:r>
      <w:r>
        <w:rPr>
          <w:rFonts w:ascii="Avenir Book" w:hAnsi="Avenir Book" w:cs="Arial"/>
          <w:sz w:val="20"/>
          <w:szCs w:val="20"/>
        </w:rPr>
        <w:fldChar w:fldCharType="end"/>
      </w:r>
      <w:r>
        <w:rPr>
          <w:rFonts w:ascii="Avenir Book" w:hAnsi="Avenir Book" w:cs="Arial"/>
          <w:sz w:val="20"/>
          <w:szCs w:val="20"/>
        </w:rPr>
        <w:t>.</w:t>
      </w:r>
    </w:p>
    <w:p w14:paraId="36B288B0" w14:textId="77777777" w:rsidR="0023196F" w:rsidRDefault="0023196F" w:rsidP="00F44CFC">
      <w:pPr>
        <w:spacing w:line="276" w:lineRule="auto"/>
        <w:rPr>
          <w:rFonts w:ascii="Avenir Book" w:hAnsi="Avenir Book" w:cs="Arial"/>
          <w:b/>
          <w:sz w:val="20"/>
          <w:szCs w:val="20"/>
        </w:rPr>
      </w:pPr>
    </w:p>
    <w:p w14:paraId="42F47175" w14:textId="77777777" w:rsidR="00FB18B4" w:rsidRDefault="00FB18B4" w:rsidP="00F44CFC">
      <w:pPr>
        <w:spacing w:line="276" w:lineRule="auto"/>
        <w:rPr>
          <w:rFonts w:ascii="Avenir Book" w:hAnsi="Avenir Book" w:cs="Arial"/>
          <w:b/>
          <w:sz w:val="20"/>
          <w:szCs w:val="20"/>
        </w:rPr>
      </w:pPr>
    </w:p>
    <w:p w14:paraId="4A0A04C2" w14:textId="77777777" w:rsidR="00F44CFC" w:rsidRPr="00F44CFC" w:rsidRDefault="00F44CFC" w:rsidP="00F44CFC">
      <w:pPr>
        <w:spacing w:line="276" w:lineRule="auto"/>
        <w:rPr>
          <w:rFonts w:ascii="Avenir Book" w:hAnsi="Avenir Book" w:cs="Arial"/>
          <w:b/>
          <w:color w:val="4F81BD" w:themeColor="accent1"/>
          <w:sz w:val="20"/>
          <w:szCs w:val="20"/>
        </w:rPr>
      </w:pPr>
      <w:r>
        <w:rPr>
          <w:rFonts w:ascii="Avenir Book" w:hAnsi="Avenir Book" w:cs="Arial"/>
          <w:b/>
          <w:color w:val="4F81BD" w:themeColor="accent1"/>
          <w:sz w:val="20"/>
          <w:szCs w:val="20"/>
        </w:rPr>
        <w:t>5. Bibliografía</w:t>
      </w:r>
    </w:p>
    <w:p w14:paraId="7EDC489B" w14:textId="782864FD" w:rsidR="00061D12" w:rsidRPr="00061D12" w:rsidRDefault="00061D12" w:rsidP="00061D12">
      <w:pPr>
        <w:widowControl w:val="0"/>
        <w:autoSpaceDE w:val="0"/>
        <w:autoSpaceDN w:val="0"/>
        <w:adjustRightInd w:val="0"/>
        <w:ind w:left="640" w:hanging="640"/>
        <w:rPr>
          <w:rFonts w:ascii="Avenir Book" w:hAnsi="Avenir Book"/>
          <w:noProof/>
          <w:sz w:val="20"/>
          <w:lang w:val="es-ES"/>
        </w:rPr>
      </w:pPr>
      <w:r>
        <w:rPr>
          <w:rFonts w:ascii="Avenir Book" w:hAnsi="Avenir Book" w:cs="Arial"/>
          <w:b/>
          <w:sz w:val="20"/>
          <w:szCs w:val="20"/>
          <w:u w:val="single"/>
        </w:rPr>
        <w:fldChar w:fldCharType="begin" w:fldLock="1"/>
      </w:r>
      <w:r>
        <w:rPr>
          <w:rFonts w:ascii="Avenir Book" w:hAnsi="Avenir Book" w:cs="Arial"/>
          <w:b/>
          <w:sz w:val="20"/>
          <w:szCs w:val="20"/>
          <w:u w:val="single"/>
        </w:rPr>
        <w:instrText xml:space="preserve">ADDIN Mendeley Bibliography CSL_BIBLIOGRAPHY </w:instrText>
      </w:r>
      <w:r>
        <w:rPr>
          <w:rFonts w:ascii="Avenir Book" w:hAnsi="Avenir Book" w:cs="Arial"/>
          <w:b/>
          <w:sz w:val="20"/>
          <w:szCs w:val="20"/>
          <w:u w:val="single"/>
        </w:rPr>
        <w:fldChar w:fldCharType="separate"/>
      </w:r>
      <w:r w:rsidRPr="00061D12">
        <w:rPr>
          <w:rFonts w:ascii="Avenir Book" w:hAnsi="Avenir Book"/>
          <w:noProof/>
          <w:sz w:val="20"/>
          <w:lang w:val="es-ES"/>
        </w:rPr>
        <w:t xml:space="preserve">1. </w:t>
      </w:r>
      <w:r w:rsidRPr="00061D12">
        <w:rPr>
          <w:rFonts w:ascii="Avenir Book" w:hAnsi="Avenir Book"/>
          <w:noProof/>
          <w:sz w:val="20"/>
          <w:lang w:val="es-ES"/>
        </w:rPr>
        <w:tab/>
        <w:t>Dietary Reference Values for vitamin B6. EFSA J [Internet]. 2016 Jun [cited 2017 Dec 9];14(6). Available from: http://doi.wiley.com/10.2903/j.efsa.2016.4485</w:t>
      </w:r>
    </w:p>
    <w:p w14:paraId="63DA5074" w14:textId="77777777" w:rsidR="00061D12" w:rsidRPr="00061D12" w:rsidRDefault="00061D12" w:rsidP="00061D12">
      <w:pPr>
        <w:widowControl w:val="0"/>
        <w:autoSpaceDE w:val="0"/>
        <w:autoSpaceDN w:val="0"/>
        <w:adjustRightInd w:val="0"/>
        <w:ind w:left="640" w:hanging="640"/>
        <w:rPr>
          <w:rFonts w:ascii="Avenir Book" w:hAnsi="Avenir Book"/>
          <w:noProof/>
          <w:sz w:val="20"/>
          <w:lang w:val="es-ES"/>
        </w:rPr>
      </w:pPr>
      <w:r w:rsidRPr="00061D12">
        <w:rPr>
          <w:rFonts w:ascii="Avenir Book" w:hAnsi="Avenir Book"/>
          <w:noProof/>
          <w:sz w:val="20"/>
          <w:lang w:val="es-ES"/>
        </w:rPr>
        <w:t xml:space="preserve">2. </w:t>
      </w:r>
      <w:r w:rsidRPr="00061D12">
        <w:rPr>
          <w:rFonts w:ascii="Avenir Book" w:hAnsi="Avenir Book"/>
          <w:noProof/>
          <w:sz w:val="20"/>
          <w:lang w:val="es-ES"/>
        </w:rPr>
        <w:tab/>
        <w:t>Sánchez de Medina F. Bases Fisiológicas y Bioquímicas de la Nutrición. In: Panamericana Ed, editor. Tratado de Nutrición. 2</w:t>
      </w:r>
      <w:r w:rsidRPr="00061D12">
        <w:rPr>
          <w:rFonts w:ascii="Avenir Book" w:hAnsi="Avenir Book"/>
          <w:noProof/>
          <w:sz w:val="20"/>
          <w:vertAlign w:val="superscript"/>
          <w:lang w:val="es-ES"/>
        </w:rPr>
        <w:t>a</w:t>
      </w:r>
      <w:r w:rsidRPr="00061D12">
        <w:rPr>
          <w:rFonts w:ascii="Avenir Book" w:hAnsi="Avenir Book"/>
          <w:noProof/>
          <w:sz w:val="20"/>
          <w:lang w:val="es-ES"/>
        </w:rPr>
        <w:t xml:space="preserve"> ed. 2010. p. 963. </w:t>
      </w:r>
    </w:p>
    <w:p w14:paraId="494D4C94" w14:textId="77777777" w:rsidR="00061D12" w:rsidRPr="00061D12" w:rsidRDefault="00061D12" w:rsidP="00061D12">
      <w:pPr>
        <w:widowControl w:val="0"/>
        <w:autoSpaceDE w:val="0"/>
        <w:autoSpaceDN w:val="0"/>
        <w:adjustRightInd w:val="0"/>
        <w:ind w:left="640" w:hanging="640"/>
        <w:rPr>
          <w:rFonts w:ascii="Avenir Book" w:hAnsi="Avenir Book"/>
          <w:noProof/>
          <w:sz w:val="20"/>
          <w:lang w:val="es-ES"/>
        </w:rPr>
      </w:pPr>
      <w:r w:rsidRPr="00061D12">
        <w:rPr>
          <w:rFonts w:ascii="Avenir Book" w:hAnsi="Avenir Book"/>
          <w:noProof/>
          <w:sz w:val="20"/>
          <w:lang w:val="es-ES"/>
        </w:rPr>
        <w:t xml:space="preserve">3. </w:t>
      </w:r>
      <w:r w:rsidRPr="00061D12">
        <w:rPr>
          <w:rFonts w:ascii="Avenir Book" w:hAnsi="Avenir Book"/>
          <w:noProof/>
          <w:sz w:val="20"/>
          <w:lang w:val="es-ES"/>
        </w:rPr>
        <w:tab/>
        <w:t>Institute of Medicine (US) Standing Committee on the Scientific Evaluation of Dietary Reference Intakes and its Panel on Folate OBV and C. Dietary Reference Intakes for Thiamin, Riboflavin, Niacin, Vitamin B6, Folate, Vitamin B12, Pantothenic Acid, Biotin, and Choline [Internet]. Dietary Reference Intakes for Thiamin, Riboflavin, Niacin, Vitamin B6, Folate, Vitamin B12, Pantothenic Acid, Biotin, and Choline. National Academies Press (US); 1998 [cited 2017 Nov 28]. Available from: http://www.ncbi.nlm.nih.gov/pubmed/23193625</w:t>
      </w:r>
    </w:p>
    <w:p w14:paraId="357FACD2" w14:textId="77777777" w:rsidR="00061D12" w:rsidRPr="00061D12" w:rsidRDefault="00061D12" w:rsidP="00061D12">
      <w:pPr>
        <w:widowControl w:val="0"/>
        <w:autoSpaceDE w:val="0"/>
        <w:autoSpaceDN w:val="0"/>
        <w:adjustRightInd w:val="0"/>
        <w:ind w:left="640" w:hanging="640"/>
        <w:rPr>
          <w:rFonts w:ascii="Avenir Book" w:hAnsi="Avenir Book"/>
          <w:noProof/>
          <w:sz w:val="20"/>
          <w:lang w:val="es-ES"/>
        </w:rPr>
      </w:pPr>
      <w:r w:rsidRPr="00061D12">
        <w:rPr>
          <w:rFonts w:ascii="Avenir Book" w:hAnsi="Avenir Book"/>
          <w:noProof/>
          <w:sz w:val="20"/>
          <w:lang w:val="es-ES"/>
        </w:rPr>
        <w:t xml:space="preserve">4. </w:t>
      </w:r>
      <w:r w:rsidRPr="00061D12">
        <w:rPr>
          <w:rFonts w:ascii="Avenir Book" w:hAnsi="Avenir Book"/>
          <w:noProof/>
          <w:sz w:val="20"/>
          <w:lang w:val="es-ES"/>
        </w:rPr>
        <w:tab/>
        <w:t xml:space="preserve">Cuervo M, Abete I, Baladia E, Corbalán M, Manera M, Basulto J, et al. Ingestas Dietéticas de Referencia (IDR) para la población española FESNAD-2010. 2010. </w:t>
      </w:r>
    </w:p>
    <w:p w14:paraId="7E15D312" w14:textId="77777777" w:rsidR="00061D12" w:rsidRPr="00061D12" w:rsidRDefault="00061D12" w:rsidP="00061D12">
      <w:pPr>
        <w:widowControl w:val="0"/>
        <w:autoSpaceDE w:val="0"/>
        <w:autoSpaceDN w:val="0"/>
        <w:adjustRightInd w:val="0"/>
        <w:ind w:left="640" w:hanging="640"/>
        <w:rPr>
          <w:rFonts w:ascii="Avenir Book" w:hAnsi="Avenir Book"/>
          <w:noProof/>
          <w:sz w:val="20"/>
          <w:lang w:val="es-ES"/>
        </w:rPr>
      </w:pPr>
      <w:r w:rsidRPr="00061D12">
        <w:rPr>
          <w:rFonts w:ascii="Avenir Book" w:hAnsi="Avenir Book"/>
          <w:noProof/>
          <w:sz w:val="20"/>
          <w:lang w:val="es-ES"/>
        </w:rPr>
        <w:t xml:space="preserve">5. </w:t>
      </w:r>
      <w:r w:rsidRPr="00061D12">
        <w:rPr>
          <w:rFonts w:ascii="Avenir Book" w:hAnsi="Avenir Book"/>
          <w:noProof/>
          <w:sz w:val="20"/>
          <w:lang w:val="es-ES"/>
        </w:rPr>
        <w:tab/>
        <w:t>PEN: Practice-based Evidence in Nutrition. Food Sources of Vitamin B6 [Internet]. [cited 2017 Dec 10]. Available from: http://www.pennutrition.com/KnowledgePathway.aspx?kpid=16524&amp;trid=14318&amp;trcatid=467</w:t>
      </w:r>
    </w:p>
    <w:p w14:paraId="264F5120" w14:textId="77777777" w:rsidR="00061D12" w:rsidRPr="00061D12" w:rsidRDefault="00061D12" w:rsidP="00061D12">
      <w:pPr>
        <w:widowControl w:val="0"/>
        <w:autoSpaceDE w:val="0"/>
        <w:autoSpaceDN w:val="0"/>
        <w:adjustRightInd w:val="0"/>
        <w:ind w:left="640" w:hanging="640"/>
        <w:rPr>
          <w:rFonts w:ascii="Avenir Book" w:hAnsi="Avenir Book"/>
          <w:noProof/>
          <w:sz w:val="20"/>
          <w:lang w:val="es-ES"/>
        </w:rPr>
      </w:pPr>
      <w:r w:rsidRPr="00061D12">
        <w:rPr>
          <w:rFonts w:ascii="Avenir Book" w:hAnsi="Avenir Book"/>
          <w:noProof/>
          <w:sz w:val="20"/>
          <w:lang w:val="es-ES"/>
        </w:rPr>
        <w:t xml:space="preserve">6. </w:t>
      </w:r>
      <w:r w:rsidRPr="00061D12">
        <w:rPr>
          <w:rFonts w:ascii="Avenir Book" w:hAnsi="Avenir Book"/>
          <w:noProof/>
          <w:sz w:val="20"/>
          <w:lang w:val="es-ES"/>
        </w:rPr>
        <w:tab/>
        <w:t>PEN: Practice-based Evidence in Nutrition. Key Practice Points. Does vitamin B supplementation affect cognitive function and mood in healthy older adults or adults with mild to moderate dementia? [Internet]. [cited 2017 Dec 10]. Available from: http://www.pennutrition.com/KnowledgePathway.aspx?kpid=2541&amp;pqcatid=146&amp;pqid=2363</w:t>
      </w:r>
    </w:p>
    <w:p w14:paraId="4BE80E91" w14:textId="77777777" w:rsidR="00061D12" w:rsidRPr="00061D12" w:rsidRDefault="00061D12" w:rsidP="00061D12">
      <w:pPr>
        <w:widowControl w:val="0"/>
        <w:autoSpaceDE w:val="0"/>
        <w:autoSpaceDN w:val="0"/>
        <w:adjustRightInd w:val="0"/>
        <w:ind w:left="640" w:hanging="640"/>
        <w:rPr>
          <w:rFonts w:ascii="Avenir Book" w:hAnsi="Avenir Book"/>
          <w:noProof/>
          <w:sz w:val="20"/>
        </w:rPr>
      </w:pPr>
      <w:r w:rsidRPr="00061D12">
        <w:rPr>
          <w:rFonts w:ascii="Avenir Book" w:hAnsi="Avenir Book"/>
          <w:noProof/>
          <w:sz w:val="20"/>
          <w:lang w:val="es-ES"/>
        </w:rPr>
        <w:t xml:space="preserve">7. </w:t>
      </w:r>
      <w:r w:rsidRPr="00061D12">
        <w:rPr>
          <w:rFonts w:ascii="Avenir Book" w:hAnsi="Avenir Book"/>
          <w:noProof/>
          <w:sz w:val="20"/>
          <w:lang w:val="es-ES"/>
        </w:rPr>
        <w:tab/>
        <w:t>PEN: Practice-based Evidence in Nutrition. Key Practice Points. Are B-vitamin supplements (e.g. folic acid, vitamin B12, B6) effective in lowering elevated homocysteine levels and beneficial in preventing cardiovascular disease (CVD) in healthy individuals (primary prevention) or individuals with pre-existing CVD (secondary prevention)? [Internet]. [cited 2017 Dec 10]. Available from: http://www.pennutrition.com/KnowledgePathway.aspx?kpid=2671&amp;pqcatid=146&amp;pqid=2667</w:t>
      </w:r>
    </w:p>
    <w:p w14:paraId="3930FB09" w14:textId="5A197A2D" w:rsidR="004E7AB7" w:rsidRPr="005E3AA7" w:rsidRDefault="00061D12" w:rsidP="004E7AB7">
      <w:pPr>
        <w:widowControl w:val="0"/>
        <w:autoSpaceDE w:val="0"/>
        <w:autoSpaceDN w:val="0"/>
        <w:adjustRightInd w:val="0"/>
        <w:spacing w:line="276" w:lineRule="auto"/>
        <w:rPr>
          <w:rFonts w:ascii="Avenir Book" w:hAnsi="Avenir Book" w:cs="Times"/>
          <w:sz w:val="18"/>
          <w:szCs w:val="20"/>
          <w:lang w:val="es-ES"/>
        </w:rPr>
      </w:pPr>
      <w:r>
        <w:rPr>
          <w:rFonts w:ascii="Avenir Book" w:hAnsi="Avenir Book" w:cs="Arial"/>
          <w:b/>
          <w:sz w:val="20"/>
          <w:szCs w:val="20"/>
          <w:u w:val="single"/>
        </w:rPr>
        <w:fldChar w:fldCharType="end"/>
      </w:r>
    </w:p>
    <w:p w14:paraId="271B4D0E" w14:textId="77777777" w:rsidR="005B5F1D" w:rsidRDefault="005B5F1D"/>
    <w:sectPr w:rsidR="005B5F1D" w:rsidSect="00E3623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venir Book">
    <w:altName w:val="Corbel"/>
    <w:panose1 w:val="02000503020000020003"/>
    <w:charset w:val="00"/>
    <w:family w:val="auto"/>
    <w:pitch w:val="variable"/>
    <w:sig w:usb0="800000AF" w:usb1="5000204A" w:usb2="00000000" w:usb3="00000000" w:csb0="0000009B"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ill Sans">
    <w:panose1 w:val="020B0502020104020203"/>
    <w:charset w:val="00"/>
    <w:family w:val="auto"/>
    <w:pitch w:val="variable"/>
    <w:sig w:usb0="80000267" w:usb1="00000000" w:usb2="00000000" w:usb3="00000000" w:csb0="000001F7"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377BB"/>
    <w:multiLevelType w:val="hybridMultilevel"/>
    <w:tmpl w:val="E736C11E"/>
    <w:lvl w:ilvl="0" w:tplc="3D8A2872">
      <w:start w:val="3"/>
      <w:numFmt w:val="bullet"/>
      <w:lvlText w:val="-"/>
      <w:lvlJc w:val="left"/>
      <w:pPr>
        <w:ind w:left="720" w:hanging="360"/>
      </w:pPr>
      <w:rPr>
        <w:rFonts w:ascii="Avenir Book" w:eastAsiaTheme="minorEastAsia" w:hAnsi="Avenir Book"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B7"/>
    <w:rsid w:val="00026B73"/>
    <w:rsid w:val="00061D12"/>
    <w:rsid w:val="0023196F"/>
    <w:rsid w:val="00265D76"/>
    <w:rsid w:val="002B2AC0"/>
    <w:rsid w:val="00486020"/>
    <w:rsid w:val="004E7AB7"/>
    <w:rsid w:val="0051368B"/>
    <w:rsid w:val="005473EA"/>
    <w:rsid w:val="00564088"/>
    <w:rsid w:val="005A6D62"/>
    <w:rsid w:val="005B136D"/>
    <w:rsid w:val="005B5F1D"/>
    <w:rsid w:val="005B7C0A"/>
    <w:rsid w:val="007419DE"/>
    <w:rsid w:val="00813DF6"/>
    <w:rsid w:val="008D696E"/>
    <w:rsid w:val="00962C85"/>
    <w:rsid w:val="00A47529"/>
    <w:rsid w:val="00AD3EB5"/>
    <w:rsid w:val="00B11B07"/>
    <w:rsid w:val="00C03DE3"/>
    <w:rsid w:val="00C23DB2"/>
    <w:rsid w:val="00CC7944"/>
    <w:rsid w:val="00CE4116"/>
    <w:rsid w:val="00DE5F1C"/>
    <w:rsid w:val="00DF605C"/>
    <w:rsid w:val="00E22642"/>
    <w:rsid w:val="00E35345"/>
    <w:rsid w:val="00E36231"/>
    <w:rsid w:val="00E62774"/>
    <w:rsid w:val="00E632A8"/>
    <w:rsid w:val="00F44CFC"/>
    <w:rsid w:val="00FB18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1C44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B7"/>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7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E7AB7"/>
    <w:pPr>
      <w:ind w:left="720"/>
      <w:contextualSpacing/>
    </w:pPr>
  </w:style>
  <w:style w:type="character" w:customStyle="1" w:styleId="current-selection">
    <w:name w:val="current-selection"/>
    <w:basedOn w:val="Fuentedeprrafopredeter"/>
    <w:rsid w:val="00E632A8"/>
  </w:style>
  <w:style w:type="character" w:customStyle="1" w:styleId="enhanced-reference">
    <w:name w:val="enhanced-reference"/>
    <w:basedOn w:val="Fuentedeprrafopredeter"/>
    <w:rsid w:val="00E632A8"/>
  </w:style>
  <w:style w:type="paragraph" w:styleId="NormalWeb">
    <w:name w:val="Normal (Web)"/>
    <w:basedOn w:val="Normal"/>
    <w:uiPriority w:val="99"/>
    <w:semiHidden/>
    <w:unhideWhenUsed/>
    <w:rsid w:val="00FB18B4"/>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semiHidden/>
    <w:unhideWhenUsed/>
    <w:rsid w:val="00FB18B4"/>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AB7"/>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E7A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E7AB7"/>
    <w:pPr>
      <w:ind w:left="720"/>
      <w:contextualSpacing/>
    </w:pPr>
  </w:style>
  <w:style w:type="character" w:customStyle="1" w:styleId="current-selection">
    <w:name w:val="current-selection"/>
    <w:basedOn w:val="Fuentedeprrafopredeter"/>
    <w:rsid w:val="00E632A8"/>
  </w:style>
  <w:style w:type="character" w:customStyle="1" w:styleId="enhanced-reference">
    <w:name w:val="enhanced-reference"/>
    <w:basedOn w:val="Fuentedeprrafopredeter"/>
    <w:rsid w:val="00E632A8"/>
  </w:style>
  <w:style w:type="paragraph" w:styleId="NormalWeb">
    <w:name w:val="Normal (Web)"/>
    <w:basedOn w:val="Normal"/>
    <w:uiPriority w:val="99"/>
    <w:semiHidden/>
    <w:unhideWhenUsed/>
    <w:rsid w:val="00FB18B4"/>
    <w:pPr>
      <w:spacing w:before="100" w:beforeAutospacing="1" w:after="100" w:afterAutospacing="1"/>
    </w:pPr>
    <w:rPr>
      <w:rFonts w:ascii="Times" w:hAnsi="Times" w:cs="Times New Roman"/>
      <w:sz w:val="20"/>
      <w:szCs w:val="20"/>
    </w:rPr>
  </w:style>
  <w:style w:type="character" w:styleId="Hipervnculo">
    <w:name w:val="Hyperlink"/>
    <w:basedOn w:val="Fuentedeprrafopredeter"/>
    <w:uiPriority w:val="99"/>
    <w:semiHidden/>
    <w:unhideWhenUsed/>
    <w:rsid w:val="00FB18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658316">
      <w:bodyDiv w:val="1"/>
      <w:marLeft w:val="0"/>
      <w:marRight w:val="0"/>
      <w:marTop w:val="0"/>
      <w:marBottom w:val="0"/>
      <w:divBdr>
        <w:top w:val="none" w:sz="0" w:space="0" w:color="auto"/>
        <w:left w:val="none" w:sz="0" w:space="0" w:color="auto"/>
        <w:bottom w:val="none" w:sz="0" w:space="0" w:color="auto"/>
        <w:right w:val="none" w:sz="0" w:space="0" w:color="auto"/>
      </w:divBdr>
      <w:divsChild>
        <w:div w:id="1562256000">
          <w:marLeft w:val="0"/>
          <w:marRight w:val="0"/>
          <w:marTop w:val="0"/>
          <w:marBottom w:val="0"/>
          <w:divBdr>
            <w:top w:val="none" w:sz="0" w:space="0" w:color="auto"/>
            <w:left w:val="none" w:sz="0" w:space="0" w:color="auto"/>
            <w:bottom w:val="none" w:sz="0" w:space="0" w:color="auto"/>
            <w:right w:val="none" w:sz="0" w:space="0" w:color="auto"/>
          </w:divBdr>
        </w:div>
        <w:div w:id="674724688">
          <w:marLeft w:val="0"/>
          <w:marRight w:val="0"/>
          <w:marTop w:val="0"/>
          <w:marBottom w:val="0"/>
          <w:divBdr>
            <w:top w:val="none" w:sz="0" w:space="0" w:color="auto"/>
            <w:left w:val="none" w:sz="0" w:space="0" w:color="auto"/>
            <w:bottom w:val="none" w:sz="0" w:space="0" w:color="auto"/>
            <w:right w:val="none" w:sz="0" w:space="0" w:color="auto"/>
          </w:divBdr>
        </w:div>
        <w:div w:id="1654482789">
          <w:marLeft w:val="0"/>
          <w:marRight w:val="0"/>
          <w:marTop w:val="0"/>
          <w:marBottom w:val="0"/>
          <w:divBdr>
            <w:top w:val="none" w:sz="0" w:space="0" w:color="auto"/>
            <w:left w:val="none" w:sz="0" w:space="0" w:color="auto"/>
            <w:bottom w:val="none" w:sz="0" w:space="0" w:color="auto"/>
            <w:right w:val="none" w:sz="0" w:space="0" w:color="auto"/>
          </w:divBdr>
        </w:div>
        <w:div w:id="1026129754">
          <w:marLeft w:val="0"/>
          <w:marRight w:val="0"/>
          <w:marTop w:val="0"/>
          <w:marBottom w:val="0"/>
          <w:divBdr>
            <w:top w:val="none" w:sz="0" w:space="0" w:color="auto"/>
            <w:left w:val="none" w:sz="0" w:space="0" w:color="auto"/>
            <w:bottom w:val="none" w:sz="0" w:space="0" w:color="auto"/>
            <w:right w:val="none" w:sz="0" w:space="0" w:color="auto"/>
          </w:divBdr>
        </w:div>
        <w:div w:id="1276598848">
          <w:marLeft w:val="0"/>
          <w:marRight w:val="0"/>
          <w:marTop w:val="0"/>
          <w:marBottom w:val="0"/>
          <w:divBdr>
            <w:top w:val="none" w:sz="0" w:space="0" w:color="auto"/>
            <w:left w:val="none" w:sz="0" w:space="0" w:color="auto"/>
            <w:bottom w:val="none" w:sz="0" w:space="0" w:color="auto"/>
            <w:right w:val="none" w:sz="0" w:space="0" w:color="auto"/>
          </w:divBdr>
        </w:div>
        <w:div w:id="1921524959">
          <w:marLeft w:val="0"/>
          <w:marRight w:val="0"/>
          <w:marTop w:val="0"/>
          <w:marBottom w:val="0"/>
          <w:divBdr>
            <w:top w:val="none" w:sz="0" w:space="0" w:color="auto"/>
            <w:left w:val="none" w:sz="0" w:space="0" w:color="auto"/>
            <w:bottom w:val="none" w:sz="0" w:space="0" w:color="auto"/>
            <w:right w:val="none" w:sz="0" w:space="0" w:color="auto"/>
          </w:divBdr>
        </w:div>
        <w:div w:id="520167115">
          <w:marLeft w:val="0"/>
          <w:marRight w:val="0"/>
          <w:marTop w:val="0"/>
          <w:marBottom w:val="0"/>
          <w:divBdr>
            <w:top w:val="none" w:sz="0" w:space="0" w:color="auto"/>
            <w:left w:val="none" w:sz="0" w:space="0" w:color="auto"/>
            <w:bottom w:val="none" w:sz="0" w:space="0" w:color="auto"/>
            <w:right w:val="none" w:sz="0" w:space="0" w:color="auto"/>
          </w:divBdr>
        </w:div>
        <w:div w:id="1691376601">
          <w:marLeft w:val="0"/>
          <w:marRight w:val="0"/>
          <w:marTop w:val="0"/>
          <w:marBottom w:val="0"/>
          <w:divBdr>
            <w:top w:val="none" w:sz="0" w:space="0" w:color="auto"/>
            <w:left w:val="none" w:sz="0" w:space="0" w:color="auto"/>
            <w:bottom w:val="none" w:sz="0" w:space="0" w:color="auto"/>
            <w:right w:val="none" w:sz="0" w:space="0" w:color="auto"/>
          </w:divBdr>
        </w:div>
        <w:div w:id="858851853">
          <w:marLeft w:val="0"/>
          <w:marRight w:val="0"/>
          <w:marTop w:val="0"/>
          <w:marBottom w:val="0"/>
          <w:divBdr>
            <w:top w:val="none" w:sz="0" w:space="0" w:color="auto"/>
            <w:left w:val="none" w:sz="0" w:space="0" w:color="auto"/>
            <w:bottom w:val="none" w:sz="0" w:space="0" w:color="auto"/>
            <w:right w:val="none" w:sz="0" w:space="0" w:color="auto"/>
          </w:divBdr>
        </w:div>
        <w:div w:id="390426411">
          <w:marLeft w:val="0"/>
          <w:marRight w:val="0"/>
          <w:marTop w:val="0"/>
          <w:marBottom w:val="0"/>
          <w:divBdr>
            <w:top w:val="none" w:sz="0" w:space="0" w:color="auto"/>
            <w:left w:val="none" w:sz="0" w:space="0" w:color="auto"/>
            <w:bottom w:val="none" w:sz="0" w:space="0" w:color="auto"/>
            <w:right w:val="none" w:sz="0" w:space="0" w:color="auto"/>
          </w:divBdr>
        </w:div>
        <w:div w:id="1765611089">
          <w:marLeft w:val="0"/>
          <w:marRight w:val="0"/>
          <w:marTop w:val="0"/>
          <w:marBottom w:val="0"/>
          <w:divBdr>
            <w:top w:val="none" w:sz="0" w:space="0" w:color="auto"/>
            <w:left w:val="none" w:sz="0" w:space="0" w:color="auto"/>
            <w:bottom w:val="none" w:sz="0" w:space="0" w:color="auto"/>
            <w:right w:val="none" w:sz="0" w:space="0" w:color="auto"/>
          </w:divBdr>
        </w:div>
        <w:div w:id="1108742580">
          <w:marLeft w:val="0"/>
          <w:marRight w:val="0"/>
          <w:marTop w:val="0"/>
          <w:marBottom w:val="0"/>
          <w:divBdr>
            <w:top w:val="none" w:sz="0" w:space="0" w:color="auto"/>
            <w:left w:val="none" w:sz="0" w:space="0" w:color="auto"/>
            <w:bottom w:val="none" w:sz="0" w:space="0" w:color="auto"/>
            <w:right w:val="none" w:sz="0" w:space="0" w:color="auto"/>
          </w:divBdr>
        </w:div>
        <w:div w:id="949437770">
          <w:marLeft w:val="0"/>
          <w:marRight w:val="0"/>
          <w:marTop w:val="0"/>
          <w:marBottom w:val="0"/>
          <w:divBdr>
            <w:top w:val="none" w:sz="0" w:space="0" w:color="auto"/>
            <w:left w:val="none" w:sz="0" w:space="0" w:color="auto"/>
            <w:bottom w:val="none" w:sz="0" w:space="0" w:color="auto"/>
            <w:right w:val="none" w:sz="0" w:space="0" w:color="auto"/>
          </w:divBdr>
        </w:div>
        <w:div w:id="1201091044">
          <w:marLeft w:val="0"/>
          <w:marRight w:val="0"/>
          <w:marTop w:val="0"/>
          <w:marBottom w:val="0"/>
          <w:divBdr>
            <w:top w:val="none" w:sz="0" w:space="0" w:color="auto"/>
            <w:left w:val="none" w:sz="0" w:space="0" w:color="auto"/>
            <w:bottom w:val="none" w:sz="0" w:space="0" w:color="auto"/>
            <w:right w:val="none" w:sz="0" w:space="0" w:color="auto"/>
          </w:divBdr>
        </w:div>
        <w:div w:id="102773933">
          <w:marLeft w:val="0"/>
          <w:marRight w:val="0"/>
          <w:marTop w:val="0"/>
          <w:marBottom w:val="0"/>
          <w:divBdr>
            <w:top w:val="none" w:sz="0" w:space="0" w:color="auto"/>
            <w:left w:val="none" w:sz="0" w:space="0" w:color="auto"/>
            <w:bottom w:val="none" w:sz="0" w:space="0" w:color="auto"/>
            <w:right w:val="none" w:sz="0" w:space="0" w:color="auto"/>
          </w:divBdr>
        </w:div>
        <w:div w:id="1599675796">
          <w:marLeft w:val="0"/>
          <w:marRight w:val="0"/>
          <w:marTop w:val="0"/>
          <w:marBottom w:val="0"/>
          <w:divBdr>
            <w:top w:val="none" w:sz="0" w:space="0" w:color="auto"/>
            <w:left w:val="none" w:sz="0" w:space="0" w:color="auto"/>
            <w:bottom w:val="none" w:sz="0" w:space="0" w:color="auto"/>
            <w:right w:val="none" w:sz="0" w:space="0" w:color="auto"/>
          </w:divBdr>
        </w:div>
        <w:div w:id="894774769">
          <w:marLeft w:val="0"/>
          <w:marRight w:val="0"/>
          <w:marTop w:val="0"/>
          <w:marBottom w:val="0"/>
          <w:divBdr>
            <w:top w:val="none" w:sz="0" w:space="0" w:color="auto"/>
            <w:left w:val="none" w:sz="0" w:space="0" w:color="auto"/>
            <w:bottom w:val="none" w:sz="0" w:space="0" w:color="auto"/>
            <w:right w:val="none" w:sz="0" w:space="0" w:color="auto"/>
          </w:divBdr>
        </w:div>
        <w:div w:id="456414133">
          <w:marLeft w:val="0"/>
          <w:marRight w:val="0"/>
          <w:marTop w:val="0"/>
          <w:marBottom w:val="0"/>
          <w:divBdr>
            <w:top w:val="none" w:sz="0" w:space="0" w:color="auto"/>
            <w:left w:val="none" w:sz="0" w:space="0" w:color="auto"/>
            <w:bottom w:val="none" w:sz="0" w:space="0" w:color="auto"/>
            <w:right w:val="none" w:sz="0" w:space="0" w:color="auto"/>
          </w:divBdr>
        </w:div>
        <w:div w:id="1709835006">
          <w:marLeft w:val="0"/>
          <w:marRight w:val="0"/>
          <w:marTop w:val="0"/>
          <w:marBottom w:val="0"/>
          <w:divBdr>
            <w:top w:val="none" w:sz="0" w:space="0" w:color="auto"/>
            <w:left w:val="none" w:sz="0" w:space="0" w:color="auto"/>
            <w:bottom w:val="none" w:sz="0" w:space="0" w:color="auto"/>
            <w:right w:val="none" w:sz="0" w:space="0" w:color="auto"/>
          </w:divBdr>
        </w:div>
        <w:div w:id="1239245587">
          <w:marLeft w:val="0"/>
          <w:marRight w:val="0"/>
          <w:marTop w:val="0"/>
          <w:marBottom w:val="0"/>
          <w:divBdr>
            <w:top w:val="none" w:sz="0" w:space="0" w:color="auto"/>
            <w:left w:val="none" w:sz="0" w:space="0" w:color="auto"/>
            <w:bottom w:val="none" w:sz="0" w:space="0" w:color="auto"/>
            <w:right w:val="none" w:sz="0" w:space="0" w:color="auto"/>
          </w:divBdr>
        </w:div>
        <w:div w:id="21444396">
          <w:marLeft w:val="0"/>
          <w:marRight w:val="0"/>
          <w:marTop w:val="0"/>
          <w:marBottom w:val="0"/>
          <w:divBdr>
            <w:top w:val="none" w:sz="0" w:space="0" w:color="auto"/>
            <w:left w:val="none" w:sz="0" w:space="0" w:color="auto"/>
            <w:bottom w:val="none" w:sz="0" w:space="0" w:color="auto"/>
            <w:right w:val="none" w:sz="0" w:space="0" w:color="auto"/>
          </w:divBdr>
        </w:div>
      </w:divsChild>
    </w:div>
    <w:div w:id="18976637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4</Pages>
  <Words>5389</Words>
  <Characters>29643</Characters>
  <Application>Microsoft Macintosh Word</Application>
  <DocSecurity>0</DocSecurity>
  <Lines>247</Lines>
  <Paragraphs>69</Paragraphs>
  <ScaleCrop>false</ScaleCrop>
  <Company/>
  <LinksUpToDate>false</LinksUpToDate>
  <CharactersWithSpaces>34963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Joana</dc:creator>
  <cp:keywords/>
  <dc:description/>
  <cp:lastModifiedBy>Maria Joana</cp:lastModifiedBy>
  <cp:revision>22</cp:revision>
  <dcterms:created xsi:type="dcterms:W3CDTF">2017-12-09T19:39:00Z</dcterms:created>
  <dcterms:modified xsi:type="dcterms:W3CDTF">2017-12-10T18:12:00Z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mariajoanamateu@gmail.com@www.mendeley.com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