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F61BC" w14:textId="5AB13A51" w:rsidR="009A0F8A" w:rsidRPr="009208BB" w:rsidRDefault="009F5D18" w:rsidP="003067E0">
      <w:pPr>
        <w:spacing w:line="276" w:lineRule="auto"/>
        <w:rPr>
          <w:rFonts w:ascii="Avenir Book" w:hAnsi="Avenir Book" w:cs="Arial"/>
          <w:b/>
          <w:color w:val="4F81BD" w:themeColor="accent1"/>
          <w:sz w:val="20"/>
          <w:szCs w:val="20"/>
        </w:rPr>
      </w:pPr>
      <w:r w:rsidRPr="009208BB">
        <w:rPr>
          <w:rFonts w:ascii="Avenir Book" w:hAnsi="Avenir Book" w:cs="Arial"/>
          <w:b/>
          <w:color w:val="4F81BD" w:themeColor="accent1"/>
          <w:sz w:val="20"/>
          <w:szCs w:val="20"/>
        </w:rPr>
        <w:t xml:space="preserve">1ª </w:t>
      </w:r>
      <w:r w:rsidR="009A0F8A" w:rsidRPr="009208BB">
        <w:rPr>
          <w:rFonts w:ascii="Avenir Book" w:hAnsi="Avenir Book" w:cs="Arial"/>
          <w:b/>
          <w:color w:val="4F81BD" w:themeColor="accent1"/>
          <w:sz w:val="20"/>
          <w:szCs w:val="20"/>
        </w:rPr>
        <w:t>SESIÓN CLÍNICA CODNIB</w:t>
      </w:r>
      <w:r w:rsidR="00C23174">
        <w:rPr>
          <w:rFonts w:ascii="Avenir Book" w:hAnsi="Avenir Book" w:cs="Arial"/>
          <w:b/>
          <w:color w:val="4F81BD" w:themeColor="accent1"/>
          <w:sz w:val="20"/>
          <w:szCs w:val="20"/>
        </w:rPr>
        <w:t xml:space="preserve"> – Maria Joana Mateu</w:t>
      </w:r>
    </w:p>
    <w:p w14:paraId="53842910" w14:textId="77777777" w:rsidR="00CB463D" w:rsidRPr="003067E0" w:rsidRDefault="00CB463D" w:rsidP="003067E0">
      <w:pPr>
        <w:spacing w:line="276" w:lineRule="auto"/>
        <w:rPr>
          <w:rFonts w:ascii="Avenir Book" w:hAnsi="Avenir Book" w:cs="Arial"/>
          <w:sz w:val="20"/>
          <w:szCs w:val="20"/>
        </w:rPr>
      </w:pPr>
    </w:p>
    <w:p w14:paraId="75903F6E" w14:textId="5664A51F" w:rsidR="006857A6" w:rsidRDefault="00CB463D" w:rsidP="003067E0">
      <w:pPr>
        <w:spacing w:line="276" w:lineRule="auto"/>
        <w:rPr>
          <w:rFonts w:ascii="Avenir Book" w:hAnsi="Avenir Book" w:cs="Arial"/>
          <w:b/>
          <w:sz w:val="20"/>
          <w:szCs w:val="20"/>
          <w:u w:val="single"/>
        </w:rPr>
      </w:pPr>
      <w:r w:rsidRPr="00AC6F2E">
        <w:rPr>
          <w:rFonts w:ascii="Avenir Book" w:hAnsi="Avenir Book" w:cs="Arial"/>
          <w:b/>
          <w:sz w:val="20"/>
          <w:szCs w:val="20"/>
          <w:u w:val="single"/>
        </w:rPr>
        <w:t>VITAMINA B</w:t>
      </w:r>
      <w:r w:rsidRPr="00AC6F2E">
        <w:rPr>
          <w:rFonts w:ascii="Avenir Book" w:hAnsi="Avenir Book" w:cs="Arial"/>
          <w:b/>
          <w:sz w:val="20"/>
          <w:szCs w:val="20"/>
          <w:u w:val="single"/>
          <w:vertAlign w:val="subscript"/>
        </w:rPr>
        <w:t>1</w:t>
      </w:r>
      <w:r w:rsidRPr="00AC6F2E">
        <w:rPr>
          <w:rFonts w:ascii="Avenir Book" w:hAnsi="Avenir Book" w:cs="Arial"/>
          <w:b/>
          <w:sz w:val="20"/>
          <w:szCs w:val="20"/>
          <w:u w:val="single"/>
        </w:rPr>
        <w:t xml:space="preserve"> (Tiamina)</w:t>
      </w:r>
    </w:p>
    <w:p w14:paraId="7163230C" w14:textId="77777777" w:rsidR="00170D09" w:rsidRDefault="00170D09" w:rsidP="00170D09">
      <w:pPr>
        <w:spacing w:line="276" w:lineRule="auto"/>
        <w:rPr>
          <w:rFonts w:ascii="Avenir Book" w:hAnsi="Avenir Book" w:cs="Arial"/>
          <w:b/>
          <w:sz w:val="20"/>
          <w:szCs w:val="20"/>
          <w:u w:val="single"/>
        </w:rPr>
      </w:pPr>
    </w:p>
    <w:p w14:paraId="38F4D56B" w14:textId="50950186" w:rsidR="00170D09" w:rsidRPr="00170D09" w:rsidRDefault="00170D09" w:rsidP="00C23174">
      <w:pPr>
        <w:spacing w:line="276" w:lineRule="auto"/>
        <w:rPr>
          <w:rFonts w:ascii="Avenir Book" w:hAnsi="Avenir Book" w:cs="Arial"/>
          <w:sz w:val="20"/>
          <w:szCs w:val="20"/>
          <w:vertAlign w:val="superscript"/>
        </w:rPr>
      </w:pPr>
      <w:r>
        <w:rPr>
          <w:rFonts w:ascii="Avenir Book" w:hAnsi="Avenir Book" w:cs="Arial"/>
          <w:b/>
          <w:color w:val="4F81BD" w:themeColor="accent1"/>
          <w:sz w:val="20"/>
          <w:szCs w:val="20"/>
        </w:rPr>
        <w:t xml:space="preserve">1. Características </w:t>
      </w:r>
      <w:r w:rsidR="001D13FF">
        <w:rPr>
          <w:rFonts w:ascii="Avenir Book" w:hAnsi="Avenir Book" w:cs="Arial"/>
          <w:b/>
          <w:color w:val="4F81BD" w:themeColor="accent1"/>
          <w:sz w:val="20"/>
          <w:szCs w:val="20"/>
        </w:rPr>
        <w:t>de una deficiencia y población de riesg</w:t>
      </w:r>
      <w:r w:rsidR="0071012E">
        <w:rPr>
          <w:rFonts w:ascii="Avenir Book" w:hAnsi="Avenir Book" w:cs="Arial"/>
          <w:b/>
          <w:color w:val="4F81BD" w:themeColor="accent1"/>
          <w:sz w:val="20"/>
          <w:szCs w:val="20"/>
        </w:rPr>
        <w:t>o</w:t>
      </w:r>
    </w:p>
    <w:p w14:paraId="7BA28D60" w14:textId="770CB29E" w:rsidR="00D251C0" w:rsidRDefault="00CD14FA" w:rsidP="00C23174">
      <w:pPr>
        <w:spacing w:line="276" w:lineRule="auto"/>
        <w:rPr>
          <w:rFonts w:ascii="Avenir Book" w:hAnsi="Avenir Book"/>
          <w:sz w:val="20"/>
          <w:szCs w:val="20"/>
        </w:rPr>
      </w:pPr>
      <w:r>
        <w:rPr>
          <w:rFonts w:ascii="Avenir Book" w:hAnsi="Avenir Book"/>
          <w:sz w:val="20"/>
          <w:szCs w:val="20"/>
        </w:rPr>
        <w:t>La tiamina és una vitamina</w:t>
      </w:r>
      <w:r w:rsidR="005167DE">
        <w:rPr>
          <w:rFonts w:ascii="Avenir Book" w:hAnsi="Avenir Book"/>
          <w:sz w:val="20"/>
          <w:szCs w:val="20"/>
        </w:rPr>
        <w:t xml:space="preserve"> hidrosoluble</w:t>
      </w:r>
      <w:r>
        <w:rPr>
          <w:rFonts w:ascii="Avenir Book" w:hAnsi="Avenir Book"/>
          <w:sz w:val="20"/>
          <w:szCs w:val="20"/>
        </w:rPr>
        <w:t xml:space="preserve"> que actua como cofactor </w:t>
      </w:r>
      <w:r w:rsidR="005167DE">
        <w:rPr>
          <w:rFonts w:ascii="Avenir Book" w:hAnsi="Avenir Book"/>
          <w:sz w:val="20"/>
          <w:szCs w:val="20"/>
        </w:rPr>
        <w:t>de</w:t>
      </w:r>
      <w:r w:rsidR="00791D60">
        <w:rPr>
          <w:rFonts w:ascii="Avenir Book" w:hAnsi="Avenir Book"/>
          <w:sz w:val="20"/>
          <w:szCs w:val="20"/>
        </w:rPr>
        <w:t xml:space="preserve"> </w:t>
      </w:r>
      <w:r w:rsidR="005167DE">
        <w:rPr>
          <w:rFonts w:ascii="Avenir Book" w:hAnsi="Avenir Book"/>
          <w:sz w:val="20"/>
          <w:szCs w:val="20"/>
        </w:rPr>
        <w:t>enzimas del metabolismo de los hidratos de carbono y de aa ramificados. Intervenie en</w:t>
      </w:r>
      <w:r>
        <w:rPr>
          <w:rFonts w:ascii="Avenir Book" w:hAnsi="Avenir Book"/>
          <w:sz w:val="20"/>
          <w:szCs w:val="20"/>
        </w:rPr>
        <w:t xml:space="preserve"> tres vias metabólicas importantes</w:t>
      </w:r>
      <w:r w:rsidR="00791D60">
        <w:rPr>
          <w:rFonts w:ascii="Avenir Book" w:hAnsi="Avenir Book"/>
          <w:sz w:val="20"/>
          <w:szCs w:val="20"/>
        </w:rPr>
        <w:t xml:space="preserve"> en reacciones catalizadas por</w:t>
      </w:r>
      <w:r w:rsidR="005355FC">
        <w:rPr>
          <w:rFonts w:ascii="Avenir Book" w:hAnsi="Avenir Book"/>
          <w:sz w:val="20"/>
          <w:szCs w:val="20"/>
        </w:rPr>
        <w:t xml:space="preserve"> </w:t>
      </w:r>
      <w:r w:rsidR="005355FC">
        <w:rPr>
          <w:rFonts w:ascii="Avenir Book" w:hAnsi="Avenir Book"/>
          <w:sz w:val="20"/>
          <w:szCs w:val="20"/>
        </w:rPr>
        <w:fldChar w:fldCharType="begin" w:fldLock="1"/>
      </w:r>
      <w:r w:rsidR="00A84680">
        <w:rPr>
          <w:rFonts w:ascii="Avenir Book" w:hAnsi="Avenir Book"/>
          <w:sz w:val="20"/>
          <w:szCs w:val="20"/>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5355FC">
        <w:rPr>
          <w:rFonts w:ascii="Avenir Book" w:hAnsi="Avenir Book"/>
          <w:sz w:val="20"/>
          <w:szCs w:val="20"/>
        </w:rPr>
        <w:fldChar w:fldCharType="separate"/>
      </w:r>
      <w:r w:rsidR="005355FC" w:rsidRPr="005355FC">
        <w:rPr>
          <w:rFonts w:ascii="Avenir Book" w:hAnsi="Avenir Book"/>
          <w:noProof/>
          <w:sz w:val="20"/>
          <w:szCs w:val="20"/>
        </w:rPr>
        <w:t>(1)</w:t>
      </w:r>
      <w:r w:rsidR="005355FC">
        <w:rPr>
          <w:rFonts w:ascii="Avenir Book" w:hAnsi="Avenir Book"/>
          <w:sz w:val="20"/>
          <w:szCs w:val="20"/>
        </w:rPr>
        <w:fldChar w:fldCharType="end"/>
      </w:r>
      <w:r>
        <w:rPr>
          <w:rFonts w:ascii="Avenir Book" w:hAnsi="Avenir Book"/>
          <w:sz w:val="20"/>
          <w:szCs w:val="20"/>
        </w:rPr>
        <w:t xml:space="preserve">: </w:t>
      </w:r>
    </w:p>
    <w:p w14:paraId="66BFA3ED" w14:textId="483082E4" w:rsidR="00CD14FA" w:rsidRPr="00CD14FA" w:rsidRDefault="00791D60" w:rsidP="00CD14FA">
      <w:pPr>
        <w:pStyle w:val="Prrafodelista"/>
        <w:numPr>
          <w:ilvl w:val="0"/>
          <w:numId w:val="4"/>
        </w:numPr>
        <w:spacing w:line="276" w:lineRule="auto"/>
        <w:rPr>
          <w:rFonts w:ascii="Avenir Book" w:hAnsi="Avenir Book"/>
          <w:sz w:val="20"/>
          <w:szCs w:val="20"/>
        </w:rPr>
      </w:pPr>
      <w:r>
        <w:rPr>
          <w:rFonts w:ascii="Avenir Book" w:hAnsi="Avenir Book"/>
          <w:sz w:val="20"/>
          <w:szCs w:val="20"/>
        </w:rPr>
        <w:t xml:space="preserve">la </w:t>
      </w:r>
      <w:r w:rsidR="00244C99">
        <w:rPr>
          <w:rFonts w:ascii="Avenir Book" w:hAnsi="Avenir Book"/>
          <w:sz w:val="20"/>
          <w:szCs w:val="20"/>
        </w:rPr>
        <w:t>p</w:t>
      </w:r>
      <w:r w:rsidR="00CD14FA" w:rsidRPr="00CD14FA">
        <w:rPr>
          <w:rFonts w:ascii="Avenir Book" w:hAnsi="Avenir Book"/>
          <w:sz w:val="20"/>
          <w:szCs w:val="20"/>
        </w:rPr>
        <w:t>iruvato carboxilasa, que permite la sí</w:t>
      </w:r>
      <w:r w:rsidR="00244C99">
        <w:rPr>
          <w:rFonts w:ascii="Avenir Book" w:hAnsi="Avenir Book"/>
          <w:sz w:val="20"/>
          <w:szCs w:val="20"/>
        </w:rPr>
        <w:t>ntesis de ActeilCoA a partir de</w:t>
      </w:r>
      <w:r w:rsidR="00CD14FA" w:rsidRPr="00CD14FA">
        <w:rPr>
          <w:rFonts w:ascii="Avenir Book" w:hAnsi="Avenir Book"/>
          <w:sz w:val="20"/>
          <w:szCs w:val="20"/>
        </w:rPr>
        <w:t xml:space="preserve"> piruvato.</w:t>
      </w:r>
    </w:p>
    <w:p w14:paraId="42E63938" w14:textId="081A3228" w:rsidR="00CD14FA" w:rsidRDefault="00791D60" w:rsidP="00CD14FA">
      <w:pPr>
        <w:pStyle w:val="Prrafodelista"/>
        <w:numPr>
          <w:ilvl w:val="0"/>
          <w:numId w:val="4"/>
        </w:numPr>
        <w:spacing w:line="276" w:lineRule="auto"/>
        <w:rPr>
          <w:rFonts w:ascii="Avenir Book" w:hAnsi="Avenir Book"/>
          <w:sz w:val="20"/>
          <w:szCs w:val="20"/>
        </w:rPr>
      </w:pPr>
      <w:r>
        <w:rPr>
          <w:rFonts w:ascii="Avenir Book" w:hAnsi="Avenir Book"/>
          <w:sz w:val="20"/>
          <w:szCs w:val="20"/>
        </w:rPr>
        <w:t xml:space="preserve">la </w:t>
      </w:r>
      <w:r w:rsidR="00244C99">
        <w:rPr>
          <w:rFonts w:ascii="Avenir Book" w:hAnsi="Avenir Book"/>
          <w:sz w:val="20"/>
          <w:szCs w:val="20"/>
        </w:rPr>
        <w:t>a</w:t>
      </w:r>
      <w:r w:rsidR="00CD14FA">
        <w:rPr>
          <w:rFonts w:ascii="Avenir Book" w:hAnsi="Avenir Book"/>
          <w:sz w:val="20"/>
          <w:szCs w:val="20"/>
        </w:rPr>
        <w:t>l</w:t>
      </w:r>
      <w:r>
        <w:rPr>
          <w:rFonts w:ascii="Avenir Book" w:hAnsi="Avenir Book"/>
          <w:sz w:val="20"/>
          <w:szCs w:val="20"/>
        </w:rPr>
        <w:t xml:space="preserve">fa-cetoglutarato decarboxilasa, </w:t>
      </w:r>
      <w:r w:rsidR="00BA512F">
        <w:rPr>
          <w:rFonts w:ascii="Avenir Book" w:hAnsi="Avenir Book"/>
          <w:sz w:val="20"/>
          <w:szCs w:val="20"/>
        </w:rPr>
        <w:t xml:space="preserve">del </w:t>
      </w:r>
      <w:r>
        <w:rPr>
          <w:rFonts w:ascii="Avenir Book" w:hAnsi="Avenir Book"/>
          <w:sz w:val="20"/>
          <w:szCs w:val="20"/>
        </w:rPr>
        <w:t>Ciclo de Krebs</w:t>
      </w:r>
      <w:r w:rsidR="00244C99">
        <w:rPr>
          <w:rFonts w:ascii="Avenir Book" w:hAnsi="Avenir Book"/>
          <w:sz w:val="20"/>
          <w:szCs w:val="20"/>
        </w:rPr>
        <w:t>.</w:t>
      </w:r>
    </w:p>
    <w:p w14:paraId="0C1F5D45" w14:textId="4EEEC81B" w:rsidR="00BA512F" w:rsidRPr="002C0BE3" w:rsidRDefault="00791D60" w:rsidP="00BA512F">
      <w:pPr>
        <w:pStyle w:val="Prrafodelista"/>
        <w:numPr>
          <w:ilvl w:val="0"/>
          <w:numId w:val="4"/>
        </w:numPr>
        <w:spacing w:line="276" w:lineRule="auto"/>
        <w:rPr>
          <w:rFonts w:ascii="Avenir Book" w:hAnsi="Avenir Book"/>
          <w:sz w:val="20"/>
          <w:szCs w:val="20"/>
        </w:rPr>
      </w:pPr>
      <w:r>
        <w:rPr>
          <w:rFonts w:ascii="Avenir Book" w:hAnsi="Avenir Book"/>
          <w:sz w:val="20"/>
          <w:szCs w:val="20"/>
        </w:rPr>
        <w:t xml:space="preserve">la </w:t>
      </w:r>
      <w:r w:rsidR="00244C99">
        <w:rPr>
          <w:rFonts w:ascii="Avenir Book" w:hAnsi="Avenir Book"/>
          <w:sz w:val="20"/>
          <w:szCs w:val="20"/>
        </w:rPr>
        <w:t>t</w:t>
      </w:r>
      <w:r>
        <w:rPr>
          <w:rFonts w:ascii="Avenir Book" w:hAnsi="Avenir Book"/>
          <w:sz w:val="20"/>
          <w:szCs w:val="20"/>
        </w:rPr>
        <w:t>ranscetolasa, de la ruta de las pentosas.</w:t>
      </w:r>
    </w:p>
    <w:p w14:paraId="4ACA3B53" w14:textId="23305069" w:rsidR="00BA512F" w:rsidRDefault="00BA512F" w:rsidP="00BA512F">
      <w:pPr>
        <w:spacing w:line="276" w:lineRule="auto"/>
        <w:rPr>
          <w:rFonts w:ascii="Avenir Book" w:hAnsi="Avenir Book"/>
          <w:sz w:val="20"/>
          <w:szCs w:val="20"/>
        </w:rPr>
      </w:pPr>
      <w:r>
        <w:rPr>
          <w:rFonts w:ascii="Avenir Book" w:hAnsi="Avenir Book"/>
          <w:sz w:val="20"/>
          <w:szCs w:val="20"/>
        </w:rPr>
        <w:t>Por lo tanto, una deficiencia de esta vitamina tendrá como principales efectos en el metabolismo:</w:t>
      </w:r>
    </w:p>
    <w:p w14:paraId="3A3876BF" w14:textId="58345D8E" w:rsidR="00BA512F" w:rsidRPr="00BA512F" w:rsidRDefault="00BA512F" w:rsidP="00BA512F">
      <w:pPr>
        <w:pStyle w:val="Prrafodelista"/>
        <w:numPr>
          <w:ilvl w:val="0"/>
          <w:numId w:val="4"/>
        </w:numPr>
        <w:spacing w:line="276" w:lineRule="auto"/>
        <w:rPr>
          <w:rFonts w:ascii="Avenir Book" w:hAnsi="Avenir Book"/>
          <w:sz w:val="20"/>
          <w:szCs w:val="20"/>
        </w:rPr>
      </w:pPr>
      <w:r w:rsidRPr="00BA512F">
        <w:rPr>
          <w:rFonts w:ascii="Avenir Book" w:hAnsi="Avenir Book"/>
          <w:sz w:val="20"/>
          <w:szCs w:val="20"/>
        </w:rPr>
        <w:t>La imposibilidad de degradar los glúcidos hasta AcetilCoA</w:t>
      </w:r>
      <w:r w:rsidR="00791D60">
        <w:rPr>
          <w:rFonts w:ascii="Avenir Book" w:hAnsi="Avenir Book"/>
          <w:sz w:val="20"/>
          <w:szCs w:val="20"/>
        </w:rPr>
        <w:t>.</w:t>
      </w:r>
    </w:p>
    <w:p w14:paraId="2B2C5EDB" w14:textId="0F9AAF23" w:rsidR="00BA512F" w:rsidRDefault="00BA512F" w:rsidP="00BA512F">
      <w:pPr>
        <w:pStyle w:val="Prrafodelista"/>
        <w:numPr>
          <w:ilvl w:val="0"/>
          <w:numId w:val="4"/>
        </w:numPr>
        <w:spacing w:line="276" w:lineRule="auto"/>
        <w:rPr>
          <w:rFonts w:ascii="Avenir Book" w:hAnsi="Avenir Book"/>
          <w:sz w:val="20"/>
          <w:szCs w:val="20"/>
        </w:rPr>
      </w:pPr>
      <w:r>
        <w:rPr>
          <w:rFonts w:ascii="Avenir Book" w:hAnsi="Avenir Book"/>
          <w:sz w:val="20"/>
          <w:szCs w:val="20"/>
        </w:rPr>
        <w:t>La imposibilidad de catabolizar el ActeilCoA o los alfa-cetoácidos (procedentes de los aa) a través del Ciclo de Krebs.</w:t>
      </w:r>
    </w:p>
    <w:p w14:paraId="57FB89D9" w14:textId="7DE2C792" w:rsidR="00BA512F" w:rsidRDefault="00BA512F" w:rsidP="00BA512F">
      <w:pPr>
        <w:pStyle w:val="Prrafodelista"/>
        <w:numPr>
          <w:ilvl w:val="0"/>
          <w:numId w:val="4"/>
        </w:numPr>
        <w:spacing w:line="276" w:lineRule="auto"/>
        <w:rPr>
          <w:rFonts w:ascii="Avenir Book" w:hAnsi="Avenir Book"/>
          <w:sz w:val="20"/>
          <w:szCs w:val="20"/>
        </w:rPr>
      </w:pPr>
      <w:r>
        <w:rPr>
          <w:rFonts w:ascii="Avenir Book" w:hAnsi="Avenir Book"/>
          <w:sz w:val="20"/>
          <w:szCs w:val="20"/>
        </w:rPr>
        <w:t>No se podrá obtener NADPH a partir de la ruta de las pentosas, imprescindible para la biosíntesis de ácidos grasos a partir del Acetil CoA.</w:t>
      </w:r>
    </w:p>
    <w:p w14:paraId="0BD6220C" w14:textId="77777777" w:rsidR="00170D09" w:rsidRDefault="00170D09" w:rsidP="00BA512F">
      <w:pPr>
        <w:spacing w:line="276" w:lineRule="auto"/>
        <w:rPr>
          <w:rFonts w:ascii="Avenir Book" w:hAnsi="Avenir Book"/>
          <w:sz w:val="20"/>
          <w:szCs w:val="20"/>
        </w:rPr>
      </w:pPr>
    </w:p>
    <w:p w14:paraId="30E4D6EA" w14:textId="4BB3D3FC" w:rsidR="00170D09" w:rsidRDefault="00170D09" w:rsidP="00BA512F">
      <w:pPr>
        <w:spacing w:line="276" w:lineRule="auto"/>
        <w:rPr>
          <w:rFonts w:ascii="Avenir Book" w:hAnsi="Avenir Book"/>
          <w:sz w:val="20"/>
          <w:szCs w:val="20"/>
        </w:rPr>
      </w:pPr>
      <w:r>
        <w:rPr>
          <w:rFonts w:ascii="Avenir Book" w:hAnsi="Avenir Book" w:cs="Arial"/>
          <w:sz w:val="20"/>
          <w:szCs w:val="20"/>
          <w:lang w:val="es-ES"/>
        </w:rPr>
        <w:t>Las reservas en el cuerpo de esta vitamina son muy bajas, solo existen reservas mínimas en corazón, cerebr</w:t>
      </w:r>
      <w:r w:rsidR="008B28F6">
        <w:rPr>
          <w:rFonts w:ascii="Avenir Book" w:hAnsi="Avenir Book" w:cs="Arial"/>
          <w:sz w:val="20"/>
          <w:szCs w:val="20"/>
          <w:lang w:val="es-ES"/>
        </w:rPr>
        <w:t>o, hígado y músculo esquelético</w:t>
      </w:r>
      <w:r>
        <w:rPr>
          <w:rFonts w:ascii="Avenir Book" w:hAnsi="Avenir Book" w:cs="Arial"/>
          <w:sz w:val="20"/>
          <w:szCs w:val="20"/>
          <w:lang w:val="es-ES"/>
        </w:rPr>
        <w:t xml:space="preserve"> </w:t>
      </w:r>
      <w:r>
        <w:rPr>
          <w:rFonts w:ascii="Avenir Book" w:hAnsi="Avenir Book" w:cs="Arial"/>
          <w:sz w:val="20"/>
          <w:szCs w:val="20"/>
          <w:lang w:val="es-ES"/>
        </w:rPr>
        <w:fldChar w:fldCharType="begin" w:fldLock="1"/>
      </w:r>
      <w:r>
        <w:rPr>
          <w:rFonts w:ascii="Avenir Book" w:hAnsi="Avenir Book" w:cs="Arial"/>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Pr>
          <w:rFonts w:ascii="Avenir Book" w:hAnsi="Avenir Book" w:cs="Arial"/>
          <w:sz w:val="20"/>
          <w:szCs w:val="20"/>
          <w:lang w:val="es-ES"/>
        </w:rPr>
        <w:fldChar w:fldCharType="separate"/>
      </w:r>
      <w:r w:rsidRPr="008445AA">
        <w:rPr>
          <w:rFonts w:ascii="Avenir Book" w:hAnsi="Avenir Book" w:cs="Arial"/>
          <w:noProof/>
          <w:sz w:val="20"/>
          <w:szCs w:val="20"/>
          <w:lang w:val="es-ES"/>
        </w:rPr>
        <w:t>(1)</w:t>
      </w:r>
      <w:r>
        <w:rPr>
          <w:rFonts w:ascii="Avenir Book" w:hAnsi="Avenir Book" w:cs="Arial"/>
          <w:sz w:val="20"/>
          <w:szCs w:val="20"/>
          <w:lang w:val="es-ES"/>
        </w:rPr>
        <w:fldChar w:fldCharType="end"/>
      </w:r>
      <w:r w:rsidR="002C0BE3">
        <w:rPr>
          <w:rFonts w:ascii="Avenir Book" w:hAnsi="Avenir Book" w:cs="Arial"/>
          <w:sz w:val="20"/>
          <w:szCs w:val="20"/>
          <w:lang w:val="es-ES"/>
        </w:rPr>
        <w:fldChar w:fldCharType="begin" w:fldLock="1"/>
      </w:r>
      <w:r w:rsidR="002C0BE3">
        <w:rPr>
          <w:rFonts w:ascii="Avenir Book" w:hAnsi="Avenir Book" w:cs="Arial"/>
          <w:sz w:val="20"/>
          <w:szCs w:val="20"/>
          <w:lang w:val="es-ES"/>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2C0BE3">
        <w:rPr>
          <w:rFonts w:ascii="Avenir Book" w:hAnsi="Avenir Book" w:cs="Arial"/>
          <w:sz w:val="20"/>
          <w:szCs w:val="20"/>
          <w:lang w:val="es-ES"/>
        </w:rPr>
        <w:fldChar w:fldCharType="separate"/>
      </w:r>
      <w:r w:rsidR="002C0BE3" w:rsidRPr="002C0BE3">
        <w:rPr>
          <w:rFonts w:ascii="Avenir Book" w:hAnsi="Avenir Book" w:cs="Arial"/>
          <w:noProof/>
          <w:sz w:val="20"/>
          <w:szCs w:val="20"/>
          <w:lang w:val="es-ES"/>
        </w:rPr>
        <w:t>(2)</w:t>
      </w:r>
      <w:r w:rsidR="002C0BE3">
        <w:rPr>
          <w:rFonts w:ascii="Avenir Book" w:hAnsi="Avenir Book" w:cs="Arial"/>
          <w:sz w:val="20"/>
          <w:szCs w:val="20"/>
          <w:lang w:val="es-ES"/>
        </w:rPr>
        <w:fldChar w:fldCharType="end"/>
      </w:r>
      <w:r>
        <w:rPr>
          <w:rFonts w:ascii="Avenir Book" w:hAnsi="Avenir Book" w:cs="Arial"/>
          <w:sz w:val="20"/>
          <w:szCs w:val="20"/>
          <w:lang w:val="es-ES"/>
        </w:rPr>
        <w:t xml:space="preserve">.    </w:t>
      </w:r>
      <w:r>
        <w:rPr>
          <w:rFonts w:ascii="Avenir Book" w:hAnsi="Avenir Book" w:cs="Arial"/>
          <w:sz w:val="20"/>
          <w:szCs w:val="20"/>
          <w:highlight w:val="yellow"/>
          <w:lang w:val="es-ES"/>
        </w:rPr>
        <w:t xml:space="preserve"> </w:t>
      </w:r>
    </w:p>
    <w:p w14:paraId="3D8BBDF6" w14:textId="77777777" w:rsidR="00170D09" w:rsidRDefault="00170D09" w:rsidP="00BA512F">
      <w:pPr>
        <w:spacing w:line="276" w:lineRule="auto"/>
        <w:rPr>
          <w:rFonts w:ascii="Avenir Book" w:hAnsi="Avenir Book"/>
          <w:sz w:val="20"/>
          <w:szCs w:val="20"/>
        </w:rPr>
      </w:pPr>
    </w:p>
    <w:p w14:paraId="7E54B237" w14:textId="0B81B825" w:rsidR="000B7FD1" w:rsidRDefault="00791D60" w:rsidP="00BA512F">
      <w:pPr>
        <w:spacing w:line="276" w:lineRule="auto"/>
        <w:rPr>
          <w:rFonts w:ascii="Avenir Book" w:hAnsi="Avenir Book"/>
          <w:sz w:val="20"/>
          <w:szCs w:val="20"/>
        </w:rPr>
      </w:pPr>
      <w:r>
        <w:rPr>
          <w:rFonts w:ascii="Avenir Book" w:hAnsi="Avenir Book"/>
          <w:sz w:val="20"/>
          <w:szCs w:val="20"/>
        </w:rPr>
        <w:t>Los tejidos metabólicamente más activos,</w:t>
      </w:r>
      <w:r w:rsidR="008B28F6">
        <w:rPr>
          <w:rFonts w:ascii="Avenir Book" w:hAnsi="Avenir Book"/>
          <w:sz w:val="20"/>
          <w:szCs w:val="20"/>
        </w:rPr>
        <w:t xml:space="preserve"> los</w:t>
      </w:r>
      <w:r>
        <w:rPr>
          <w:rFonts w:ascii="Avenir Book" w:hAnsi="Avenir Book"/>
          <w:sz w:val="20"/>
          <w:szCs w:val="20"/>
        </w:rPr>
        <w:t xml:space="preserve"> músculos y</w:t>
      </w:r>
      <w:r w:rsidR="008B28F6">
        <w:rPr>
          <w:rFonts w:ascii="Avenir Book" w:hAnsi="Avenir Book"/>
          <w:sz w:val="20"/>
          <w:szCs w:val="20"/>
        </w:rPr>
        <w:t xml:space="preserve"> los</w:t>
      </w:r>
      <w:r>
        <w:rPr>
          <w:rFonts w:ascii="Avenir Book" w:hAnsi="Avenir Book"/>
          <w:sz w:val="20"/>
          <w:szCs w:val="20"/>
        </w:rPr>
        <w:t xml:space="preserve"> nervios, </w:t>
      </w:r>
      <w:r w:rsidR="00BA512F">
        <w:rPr>
          <w:rFonts w:ascii="Avenir Book" w:hAnsi="Avenir Book"/>
          <w:sz w:val="20"/>
          <w:szCs w:val="20"/>
        </w:rPr>
        <w:t>són</w:t>
      </w:r>
      <w:r w:rsidR="00683BC8">
        <w:rPr>
          <w:rFonts w:ascii="Avenir Book" w:hAnsi="Avenir Book"/>
          <w:sz w:val="20"/>
          <w:szCs w:val="20"/>
        </w:rPr>
        <w:t xml:space="preserve"> los que se ven </w:t>
      </w:r>
      <w:r>
        <w:rPr>
          <w:rFonts w:ascii="Avenir Book" w:hAnsi="Avenir Book"/>
          <w:sz w:val="20"/>
          <w:szCs w:val="20"/>
        </w:rPr>
        <w:t>má</w:t>
      </w:r>
      <w:r w:rsidR="008B28F6">
        <w:rPr>
          <w:rFonts w:ascii="Avenir Book" w:hAnsi="Avenir Book"/>
          <w:sz w:val="20"/>
          <w:szCs w:val="20"/>
        </w:rPr>
        <w:t>s afectados por una deficiencia</w:t>
      </w:r>
      <w:r w:rsidR="004C6E4F">
        <w:rPr>
          <w:rFonts w:ascii="Avenir Book" w:hAnsi="Avenir Book"/>
          <w:sz w:val="20"/>
          <w:szCs w:val="20"/>
        </w:rPr>
        <w:t xml:space="preserve"> p</w:t>
      </w:r>
      <w:r w:rsidR="00CC528D">
        <w:rPr>
          <w:rFonts w:ascii="Avenir Book" w:hAnsi="Avenir Book"/>
          <w:sz w:val="20"/>
          <w:szCs w:val="20"/>
        </w:rPr>
        <w:t>udiendo ocasionar fatiga y</w:t>
      </w:r>
      <w:r w:rsidR="000B7FD1">
        <w:rPr>
          <w:rFonts w:ascii="Avenir Book" w:hAnsi="Avenir Book"/>
          <w:sz w:val="20"/>
          <w:szCs w:val="20"/>
        </w:rPr>
        <w:t xml:space="preserve"> debilidad</w:t>
      </w:r>
      <w:r w:rsidR="00E81491">
        <w:rPr>
          <w:rFonts w:ascii="Avenir Book" w:hAnsi="Avenir Book"/>
          <w:sz w:val="20"/>
          <w:szCs w:val="20"/>
        </w:rPr>
        <w:t xml:space="preserve"> </w:t>
      </w:r>
      <w:r w:rsidR="00E81491">
        <w:rPr>
          <w:rFonts w:ascii="Avenir Book" w:hAnsi="Avenir Book"/>
          <w:sz w:val="20"/>
          <w:szCs w:val="20"/>
        </w:rPr>
        <w:fldChar w:fldCharType="begin" w:fldLock="1"/>
      </w:r>
      <w:r w:rsidR="002C0BE3">
        <w:rPr>
          <w:rFonts w:ascii="Avenir Book" w:hAnsi="Avenir Book"/>
          <w:sz w:val="20"/>
          <w:szCs w:val="20"/>
        </w:rPr>
        <w:instrText>ADDIN CSL_CITATION { "citationItems" : [ { "id" : "ITEM-1", "itemData" : { "URL" : "https://medlineplus.gov/spanish/ency/article/002401.htm", "accessed" : { "date-parts" : [ [ "2017", "11", "28" ] ] }, "author" : [ { "dropping-particle" : "", "family" : "Wax, E RD, The Brooklyn Hospital Center, Brooklyn", "given" : "NY", "non-dropping-particle" : "", "parse-names" : false, "suffix" : "" } ], "id" : "ITEM-1", "issued" : { "date-parts" : [ [ "2017" ] ] }, "title" : "Tiamina: MedlinePlus enciclopedia m\u00e9dica", "type" : "webpage" }, "uris" : [ "http://www.mendeley.com/documents/?uuid=2d59c37e-84b5-3adf-971f-8056284dbd6f" ] } ], "mendeley" : { "formattedCitation" : "(3)", "plainTextFormattedCitation" : "(3)", "previouslyFormattedCitation" : "(3)" }, "properties" : { "noteIndex" : 0 }, "schema" : "https://github.com/citation-style-language/schema/raw/master/csl-citation.json" }</w:instrText>
      </w:r>
      <w:r w:rsidR="00E81491">
        <w:rPr>
          <w:rFonts w:ascii="Avenir Book" w:hAnsi="Avenir Book"/>
          <w:sz w:val="20"/>
          <w:szCs w:val="20"/>
        </w:rPr>
        <w:fldChar w:fldCharType="separate"/>
      </w:r>
      <w:r w:rsidR="002C0BE3" w:rsidRPr="002C0BE3">
        <w:rPr>
          <w:rFonts w:ascii="Avenir Book" w:hAnsi="Avenir Book"/>
          <w:noProof/>
          <w:sz w:val="20"/>
          <w:szCs w:val="20"/>
        </w:rPr>
        <w:t>(3)</w:t>
      </w:r>
      <w:r w:rsidR="00E81491">
        <w:rPr>
          <w:rFonts w:ascii="Avenir Book" w:hAnsi="Avenir Book"/>
          <w:sz w:val="20"/>
          <w:szCs w:val="20"/>
        </w:rPr>
        <w:fldChar w:fldCharType="end"/>
      </w:r>
      <w:r w:rsidR="00E81491">
        <w:rPr>
          <w:rFonts w:ascii="Avenir Book" w:hAnsi="Avenir Book"/>
          <w:sz w:val="20"/>
          <w:szCs w:val="20"/>
        </w:rPr>
        <w:t>. E</w:t>
      </w:r>
      <w:r w:rsidR="00A84680">
        <w:rPr>
          <w:rFonts w:ascii="Avenir Book" w:hAnsi="Avenir Book"/>
          <w:sz w:val="20"/>
          <w:szCs w:val="20"/>
        </w:rPr>
        <w:t xml:space="preserve">n casos muy extremos </w:t>
      </w:r>
      <w:r w:rsidR="00CE14A6">
        <w:rPr>
          <w:rFonts w:ascii="Avenir Book" w:hAnsi="Avenir Book"/>
          <w:sz w:val="20"/>
          <w:szCs w:val="20"/>
        </w:rPr>
        <w:t xml:space="preserve">puede provocar </w:t>
      </w:r>
      <w:r w:rsidR="00AA3150">
        <w:rPr>
          <w:rFonts w:ascii="Avenir Book" w:hAnsi="Avenir Book"/>
          <w:sz w:val="20"/>
          <w:szCs w:val="20"/>
        </w:rPr>
        <w:t>la enfermedad Beri beri</w:t>
      </w:r>
      <w:r w:rsidR="002C0BE3">
        <w:rPr>
          <w:rFonts w:ascii="Avenir Book" w:hAnsi="Avenir Book"/>
          <w:sz w:val="20"/>
          <w:szCs w:val="20"/>
        </w:rPr>
        <w:t>, que cursa con manifestaciones cardiovasculares y neurológicas</w:t>
      </w:r>
      <w:r w:rsidR="00E6306B">
        <w:rPr>
          <w:rFonts w:ascii="Avenir Book" w:hAnsi="Avenir Book"/>
          <w:sz w:val="20"/>
          <w:szCs w:val="20"/>
        </w:rPr>
        <w:t xml:space="preserve"> y el síndrome de Wernicke-Korsafoff</w:t>
      </w:r>
      <w:r w:rsidR="00A84680">
        <w:rPr>
          <w:rFonts w:ascii="Avenir Book" w:hAnsi="Avenir Book"/>
          <w:sz w:val="20"/>
          <w:szCs w:val="20"/>
        </w:rPr>
        <w:t xml:space="preserve"> </w:t>
      </w:r>
      <w:r w:rsidR="00936C01">
        <w:rPr>
          <w:rFonts w:ascii="Avenir Book" w:hAnsi="Avenir Book"/>
          <w:sz w:val="20"/>
          <w:szCs w:val="20"/>
        </w:rPr>
        <w:fldChar w:fldCharType="begin" w:fldLock="1"/>
      </w:r>
      <w:r w:rsidR="006E44EB">
        <w:rPr>
          <w:rFonts w:ascii="Avenir Book" w:hAnsi="Avenir Book"/>
          <w:sz w:val="20"/>
          <w:szCs w:val="20"/>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936C01">
        <w:rPr>
          <w:rFonts w:ascii="Avenir Book" w:hAnsi="Avenir Book"/>
          <w:sz w:val="20"/>
          <w:szCs w:val="20"/>
        </w:rPr>
        <w:fldChar w:fldCharType="separate"/>
      </w:r>
      <w:r w:rsidR="00936C01" w:rsidRPr="00936C01">
        <w:rPr>
          <w:rFonts w:ascii="Avenir Book" w:hAnsi="Avenir Book"/>
          <w:noProof/>
          <w:sz w:val="20"/>
          <w:szCs w:val="20"/>
        </w:rPr>
        <w:t>(1)</w:t>
      </w:r>
      <w:r w:rsidR="00936C01">
        <w:rPr>
          <w:rFonts w:ascii="Avenir Book" w:hAnsi="Avenir Book"/>
          <w:sz w:val="20"/>
          <w:szCs w:val="20"/>
        </w:rPr>
        <w:fldChar w:fldCharType="end"/>
      </w:r>
      <w:r w:rsidR="002C0BE3">
        <w:rPr>
          <w:rFonts w:ascii="Avenir Book" w:hAnsi="Avenir Book"/>
          <w:sz w:val="20"/>
          <w:szCs w:val="20"/>
        </w:rPr>
        <w:fldChar w:fldCharType="begin" w:fldLock="1"/>
      </w:r>
      <w:r w:rsidR="00346294">
        <w:rPr>
          <w:rFonts w:ascii="Avenir Book" w:hAnsi="Avenir Book"/>
          <w:sz w:val="20"/>
          <w:szCs w:val="20"/>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2C0BE3">
        <w:rPr>
          <w:rFonts w:ascii="Avenir Book" w:hAnsi="Avenir Book"/>
          <w:sz w:val="20"/>
          <w:szCs w:val="20"/>
        </w:rPr>
        <w:fldChar w:fldCharType="separate"/>
      </w:r>
      <w:r w:rsidR="002C0BE3" w:rsidRPr="002C0BE3">
        <w:rPr>
          <w:rFonts w:ascii="Avenir Book" w:hAnsi="Avenir Book"/>
          <w:noProof/>
          <w:sz w:val="20"/>
          <w:szCs w:val="20"/>
        </w:rPr>
        <w:t>(2)</w:t>
      </w:r>
      <w:r w:rsidR="002C0BE3">
        <w:rPr>
          <w:rFonts w:ascii="Avenir Book" w:hAnsi="Avenir Book"/>
          <w:sz w:val="20"/>
          <w:szCs w:val="20"/>
        </w:rPr>
        <w:fldChar w:fldCharType="end"/>
      </w:r>
      <w:r w:rsidR="00A84680">
        <w:rPr>
          <w:rFonts w:ascii="Avenir Book" w:hAnsi="Avenir Book"/>
          <w:sz w:val="20"/>
          <w:szCs w:val="20"/>
        </w:rPr>
        <w:fldChar w:fldCharType="begin" w:fldLock="1"/>
      </w:r>
      <w:r w:rsidR="002C0BE3">
        <w:rPr>
          <w:rFonts w:ascii="Avenir Book" w:hAnsi="Avenir Book"/>
          <w:sz w:val="20"/>
          <w:szCs w:val="20"/>
        </w:rPr>
        <w:instrText>ADDIN CSL_CITATION { "citationItems" : [ { "id" : "ITEM-1", "itemData" : { "URL" : "http://www.fao.org/docrep/006/w0073s/w0073s0k.htm", "accessed" : { "date-parts" : [ [ "2017", "11", "28" ] ] }, "id" : "ITEM-1", "issued" : { "date-parts" : [ [ "0" ] ] }, "title" : "Cap\u00edtulo 16: Beriberi y carencia de tiamina", "type" : "webpage" }, "uris" : [ "http://www.mendeley.com/documents/?uuid=a24720f3-bfe0-302c-b291-3d08a54d7f56" ] } ], "mendeley" : { "formattedCitation" : "(4)", "plainTextFormattedCitation" : "(4)", "previouslyFormattedCitation" : "(4)" }, "properties" : { "noteIndex" : 0 }, "schema" : "https://github.com/citation-style-language/schema/raw/master/csl-citation.json" }</w:instrText>
      </w:r>
      <w:r w:rsidR="00A84680">
        <w:rPr>
          <w:rFonts w:ascii="Avenir Book" w:hAnsi="Avenir Book"/>
          <w:sz w:val="20"/>
          <w:szCs w:val="20"/>
        </w:rPr>
        <w:fldChar w:fldCharType="separate"/>
      </w:r>
      <w:r w:rsidR="002C0BE3" w:rsidRPr="002C0BE3">
        <w:rPr>
          <w:rFonts w:ascii="Avenir Book" w:hAnsi="Avenir Book"/>
          <w:noProof/>
          <w:sz w:val="20"/>
          <w:szCs w:val="20"/>
        </w:rPr>
        <w:t>(4)</w:t>
      </w:r>
      <w:r w:rsidR="00A84680">
        <w:rPr>
          <w:rFonts w:ascii="Avenir Book" w:hAnsi="Avenir Book"/>
          <w:sz w:val="20"/>
          <w:szCs w:val="20"/>
        </w:rPr>
        <w:fldChar w:fldCharType="end"/>
      </w:r>
      <w:r w:rsidR="00936C01">
        <w:rPr>
          <w:rFonts w:ascii="Avenir Book" w:hAnsi="Avenir Book"/>
          <w:sz w:val="20"/>
          <w:szCs w:val="20"/>
        </w:rPr>
        <w:t xml:space="preserve">. </w:t>
      </w:r>
    </w:p>
    <w:p w14:paraId="480BBD8E" w14:textId="77777777" w:rsidR="00FD01C0" w:rsidRDefault="00FD01C0" w:rsidP="00EB7557">
      <w:pPr>
        <w:spacing w:line="276" w:lineRule="auto"/>
        <w:rPr>
          <w:rFonts w:ascii="Avenir Book" w:hAnsi="Avenir Book" w:cs="Arial"/>
          <w:b/>
          <w:sz w:val="20"/>
          <w:szCs w:val="20"/>
        </w:rPr>
      </w:pPr>
    </w:p>
    <w:p w14:paraId="57DB13F0" w14:textId="6C8A0AC6" w:rsidR="001D13FF" w:rsidRPr="00EB7557" w:rsidRDefault="00C23174" w:rsidP="00EB7557">
      <w:pPr>
        <w:spacing w:line="276" w:lineRule="auto"/>
        <w:rPr>
          <w:rFonts w:ascii="Avenir Book" w:hAnsi="Avenir Book" w:cs="Arial"/>
          <w:b/>
          <w:sz w:val="20"/>
          <w:szCs w:val="20"/>
        </w:rPr>
      </w:pPr>
      <w:r w:rsidRPr="003067E0">
        <w:rPr>
          <w:rFonts w:ascii="Avenir Book" w:hAnsi="Avenir Book" w:cs="Arial"/>
          <w:b/>
          <w:sz w:val="20"/>
          <w:szCs w:val="20"/>
        </w:rPr>
        <w:t>Población de riesgo</w:t>
      </w:r>
    </w:p>
    <w:p w14:paraId="482C510A" w14:textId="0CB85EBC" w:rsidR="00C23174" w:rsidRPr="003067E0" w:rsidRDefault="004C6E4F" w:rsidP="00C23174">
      <w:pPr>
        <w:widowControl w:val="0"/>
        <w:autoSpaceDE w:val="0"/>
        <w:autoSpaceDN w:val="0"/>
        <w:adjustRightInd w:val="0"/>
        <w:spacing w:line="276" w:lineRule="auto"/>
        <w:rPr>
          <w:rFonts w:ascii="Avenir Book" w:hAnsi="Avenir Book" w:cs="Arial"/>
          <w:sz w:val="20"/>
          <w:szCs w:val="20"/>
          <w:lang w:val="es-ES"/>
        </w:rPr>
      </w:pPr>
      <w:r>
        <w:rPr>
          <w:rFonts w:ascii="Avenir Book" w:hAnsi="Avenir Book" w:cs="Arial"/>
          <w:sz w:val="20"/>
          <w:szCs w:val="20"/>
          <w:lang w:val="es-ES"/>
        </w:rPr>
        <w:t>Aunque un déficit de esta vitamina en</w:t>
      </w:r>
      <w:r w:rsidR="00C23174" w:rsidRPr="003067E0">
        <w:rPr>
          <w:rFonts w:ascii="Avenir Book" w:hAnsi="Avenir Book" w:cs="Arial"/>
          <w:sz w:val="20"/>
          <w:szCs w:val="20"/>
          <w:lang w:val="es-ES"/>
        </w:rPr>
        <w:t xml:space="preserve"> los países industrializados</w:t>
      </w:r>
      <w:r>
        <w:rPr>
          <w:rFonts w:ascii="Avenir Book" w:hAnsi="Avenir Book" w:cs="Arial"/>
          <w:sz w:val="20"/>
          <w:szCs w:val="20"/>
          <w:lang w:val="es-ES"/>
        </w:rPr>
        <w:t xml:space="preserve"> es muy poco frecuente</w:t>
      </w:r>
      <w:r w:rsidR="00E91433">
        <w:rPr>
          <w:rFonts w:ascii="Avenir Book" w:hAnsi="Avenir Book" w:cs="Arial"/>
          <w:sz w:val="20"/>
          <w:szCs w:val="20"/>
          <w:lang w:val="es-ES"/>
        </w:rPr>
        <w:t xml:space="preserve"> </w:t>
      </w:r>
      <w:r w:rsidR="00EB7557">
        <w:rPr>
          <w:rFonts w:ascii="Avenir Book" w:hAnsi="Avenir Book" w:cs="Arial"/>
          <w:sz w:val="20"/>
          <w:szCs w:val="20"/>
          <w:lang w:val="es-ES"/>
        </w:rPr>
        <w:t>hay que prestar atención en</w:t>
      </w:r>
      <w:r w:rsidR="00C23174" w:rsidRPr="003067E0">
        <w:rPr>
          <w:rFonts w:ascii="Avenir Book" w:hAnsi="Avenir Book" w:cs="Arial"/>
          <w:sz w:val="20"/>
          <w:szCs w:val="20"/>
          <w:lang w:val="es-ES"/>
        </w:rPr>
        <w:t xml:space="preserve"> los siguientes casos:</w:t>
      </w:r>
    </w:p>
    <w:p w14:paraId="79F0F5B6" w14:textId="0889CB08" w:rsidR="00023401" w:rsidRDefault="00D251C0" w:rsidP="004C6E4F">
      <w:pPr>
        <w:pStyle w:val="Prrafodelista"/>
        <w:widowControl w:val="0"/>
        <w:numPr>
          <w:ilvl w:val="0"/>
          <w:numId w:val="2"/>
        </w:numPr>
        <w:autoSpaceDE w:val="0"/>
        <w:autoSpaceDN w:val="0"/>
        <w:adjustRightInd w:val="0"/>
        <w:spacing w:after="240" w:line="276" w:lineRule="auto"/>
        <w:rPr>
          <w:rFonts w:ascii="Avenir Book" w:hAnsi="Avenir Book" w:cs="Arial"/>
          <w:sz w:val="20"/>
          <w:szCs w:val="20"/>
          <w:lang w:val="es-ES"/>
        </w:rPr>
      </w:pPr>
      <w:r w:rsidRPr="00023401">
        <w:rPr>
          <w:rFonts w:ascii="Avenir Book" w:hAnsi="Avenir Book" w:cs="Arial"/>
          <w:sz w:val="20"/>
          <w:szCs w:val="20"/>
          <w:lang w:val="es-ES"/>
        </w:rPr>
        <w:t>alcoholismo</w:t>
      </w:r>
      <w:r w:rsidR="000D4ADD" w:rsidRPr="00023401">
        <w:rPr>
          <w:rFonts w:ascii="Avenir Book" w:hAnsi="Avenir Book" w:cs="Arial"/>
          <w:sz w:val="20"/>
          <w:szCs w:val="20"/>
          <w:lang w:val="es-ES"/>
        </w:rPr>
        <w:t xml:space="preserve"> crónico</w:t>
      </w:r>
      <w:r w:rsidR="00A83899" w:rsidRPr="00023401">
        <w:rPr>
          <w:rFonts w:ascii="Avenir Book" w:hAnsi="Avenir Book" w:cs="Arial"/>
          <w:sz w:val="20"/>
          <w:szCs w:val="20"/>
          <w:lang w:val="es-ES"/>
        </w:rPr>
        <w:t xml:space="preserve"> </w:t>
      </w:r>
      <w:r w:rsidR="00A83899" w:rsidRPr="00023401">
        <w:rPr>
          <w:rFonts w:ascii="Avenir Book" w:hAnsi="Avenir Book" w:cs="Arial"/>
          <w:sz w:val="20"/>
          <w:szCs w:val="20"/>
          <w:lang w:val="es-ES"/>
        </w:rPr>
        <w:sym w:font="Wingdings" w:char="F0E0"/>
      </w:r>
      <w:r w:rsidR="004C6E4F" w:rsidRPr="00023401">
        <w:rPr>
          <w:rFonts w:ascii="Avenir Book" w:hAnsi="Avenir Book" w:cs="Arial"/>
          <w:sz w:val="20"/>
          <w:szCs w:val="20"/>
          <w:lang w:val="es-ES"/>
        </w:rPr>
        <w:t xml:space="preserve"> el alcohol inhibe el tranporte activo de abasorción de la ti</w:t>
      </w:r>
      <w:r w:rsidR="00EB7557" w:rsidRPr="00023401">
        <w:rPr>
          <w:rFonts w:ascii="Avenir Book" w:hAnsi="Avenir Book" w:cs="Arial"/>
          <w:sz w:val="20"/>
          <w:szCs w:val="20"/>
          <w:lang w:val="es-ES"/>
        </w:rPr>
        <w:t>am</w:t>
      </w:r>
      <w:r w:rsidR="004C6E4F" w:rsidRPr="00023401">
        <w:rPr>
          <w:rFonts w:ascii="Avenir Book" w:hAnsi="Avenir Book" w:cs="Arial"/>
          <w:sz w:val="20"/>
          <w:szCs w:val="20"/>
          <w:lang w:val="es-ES"/>
        </w:rPr>
        <w:t>ina en el intestino delgado</w:t>
      </w:r>
      <w:r w:rsidR="006E44EB" w:rsidRPr="00023401">
        <w:rPr>
          <w:rFonts w:ascii="Avenir Book" w:hAnsi="Avenir Book" w:cs="Arial"/>
          <w:sz w:val="20"/>
          <w:szCs w:val="20"/>
          <w:lang w:val="es-ES"/>
        </w:rPr>
        <w:t xml:space="preserve"> </w:t>
      </w:r>
      <w:r w:rsidR="006E44EB" w:rsidRPr="00023401">
        <w:rPr>
          <w:rFonts w:ascii="Avenir Book" w:hAnsi="Avenir Book" w:cs="Arial"/>
          <w:sz w:val="20"/>
          <w:szCs w:val="20"/>
          <w:lang w:val="es-ES"/>
        </w:rPr>
        <w:fldChar w:fldCharType="begin" w:fldLock="1"/>
      </w:r>
      <w:r w:rsidR="0071012E" w:rsidRPr="00023401">
        <w:rPr>
          <w:rFonts w:ascii="Avenir Book" w:hAnsi="Avenir Book" w:cs="Arial"/>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6E44EB" w:rsidRPr="00023401">
        <w:rPr>
          <w:rFonts w:ascii="Avenir Book" w:hAnsi="Avenir Book" w:cs="Arial"/>
          <w:sz w:val="20"/>
          <w:szCs w:val="20"/>
          <w:lang w:val="es-ES"/>
        </w:rPr>
        <w:fldChar w:fldCharType="separate"/>
      </w:r>
      <w:r w:rsidR="006E44EB" w:rsidRPr="00023401">
        <w:rPr>
          <w:rFonts w:ascii="Avenir Book" w:hAnsi="Avenir Book" w:cs="Arial"/>
          <w:noProof/>
          <w:sz w:val="20"/>
          <w:szCs w:val="20"/>
          <w:lang w:val="es-ES"/>
        </w:rPr>
        <w:t>(1)</w:t>
      </w:r>
      <w:r w:rsidR="006E44EB" w:rsidRPr="00023401">
        <w:rPr>
          <w:rFonts w:ascii="Avenir Book" w:hAnsi="Avenir Book" w:cs="Arial"/>
          <w:sz w:val="20"/>
          <w:szCs w:val="20"/>
          <w:lang w:val="es-ES"/>
        </w:rPr>
        <w:fldChar w:fldCharType="end"/>
      </w:r>
      <w:r w:rsidR="00346294" w:rsidRPr="00023401">
        <w:rPr>
          <w:rFonts w:ascii="Avenir Book" w:hAnsi="Avenir Book" w:cs="Arial"/>
          <w:sz w:val="20"/>
          <w:szCs w:val="20"/>
          <w:lang w:val="es-ES"/>
        </w:rPr>
        <w:fldChar w:fldCharType="begin" w:fldLock="1"/>
      </w:r>
      <w:r w:rsidR="00023401" w:rsidRPr="00023401">
        <w:rPr>
          <w:rFonts w:ascii="Avenir Book" w:hAnsi="Avenir Book" w:cs="Arial"/>
          <w:sz w:val="20"/>
          <w:szCs w:val="20"/>
          <w:lang w:val="es-ES"/>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346294" w:rsidRPr="00023401">
        <w:rPr>
          <w:rFonts w:ascii="Avenir Book" w:hAnsi="Avenir Book" w:cs="Arial"/>
          <w:sz w:val="20"/>
          <w:szCs w:val="20"/>
          <w:lang w:val="es-ES"/>
        </w:rPr>
        <w:fldChar w:fldCharType="separate"/>
      </w:r>
      <w:r w:rsidR="00346294" w:rsidRPr="00023401">
        <w:rPr>
          <w:rFonts w:ascii="Avenir Book" w:hAnsi="Avenir Book" w:cs="Arial"/>
          <w:noProof/>
          <w:sz w:val="20"/>
          <w:szCs w:val="20"/>
          <w:lang w:val="es-ES"/>
        </w:rPr>
        <w:t>(2)</w:t>
      </w:r>
      <w:r w:rsidR="00346294" w:rsidRPr="00023401">
        <w:rPr>
          <w:rFonts w:ascii="Avenir Book" w:hAnsi="Avenir Book" w:cs="Arial"/>
          <w:sz w:val="20"/>
          <w:szCs w:val="20"/>
          <w:lang w:val="es-ES"/>
        </w:rPr>
        <w:fldChar w:fldCharType="end"/>
      </w:r>
      <w:r w:rsidR="004C6E4F" w:rsidRPr="00023401">
        <w:rPr>
          <w:rFonts w:ascii="Avenir Book" w:hAnsi="Avenir Book" w:cs="Arial"/>
          <w:sz w:val="20"/>
          <w:szCs w:val="20"/>
          <w:lang w:val="es-ES"/>
        </w:rPr>
        <w:t>.</w:t>
      </w:r>
      <w:r w:rsidRPr="00023401">
        <w:rPr>
          <w:rFonts w:ascii="Avenir Book" w:hAnsi="Avenir Book" w:cs="Arial"/>
          <w:sz w:val="20"/>
          <w:szCs w:val="20"/>
          <w:lang w:val="es-ES"/>
        </w:rPr>
        <w:t xml:space="preserve"> </w:t>
      </w:r>
      <w:r w:rsidR="00E81491" w:rsidRPr="00023401">
        <w:rPr>
          <w:rFonts w:ascii="Avenir Book" w:hAnsi="Avenir Book" w:cs="Arial"/>
          <w:sz w:val="20"/>
          <w:szCs w:val="20"/>
          <w:lang w:val="es-ES"/>
        </w:rPr>
        <w:t>En situaciones graves el déficit</w:t>
      </w:r>
      <w:r w:rsidR="00A84680" w:rsidRPr="00023401">
        <w:rPr>
          <w:rFonts w:ascii="Avenir Book" w:hAnsi="Avenir Book" w:cs="Arial"/>
          <w:sz w:val="20"/>
          <w:szCs w:val="20"/>
          <w:lang w:val="es-ES"/>
        </w:rPr>
        <w:t xml:space="preserve"> en alcohólicos</w:t>
      </w:r>
      <w:r w:rsidR="00E81491" w:rsidRPr="00023401">
        <w:rPr>
          <w:rFonts w:ascii="Avenir Book" w:hAnsi="Avenir Book" w:cs="Arial"/>
          <w:sz w:val="20"/>
          <w:szCs w:val="20"/>
          <w:lang w:val="es-ES"/>
        </w:rPr>
        <w:t xml:space="preserve"> puede dar lugar a la enfermedad de Wernicke (ataxia y alteraciones oculares –caída de párpados, visión doble, movimientos oculares anormales-) que si no es tratada debidamente puede desancadenar l</w:t>
      </w:r>
      <w:r w:rsidR="00EB7557" w:rsidRPr="00023401">
        <w:rPr>
          <w:rFonts w:ascii="Avenir Book" w:hAnsi="Avenir Book" w:cs="Arial"/>
          <w:sz w:val="20"/>
          <w:szCs w:val="20"/>
          <w:lang w:val="es-ES"/>
        </w:rPr>
        <w:t>a psico</w:t>
      </w:r>
      <w:r w:rsidR="00A84680" w:rsidRPr="00023401">
        <w:rPr>
          <w:rFonts w:ascii="Avenir Book" w:hAnsi="Avenir Book" w:cs="Arial"/>
          <w:sz w:val="20"/>
          <w:szCs w:val="20"/>
          <w:lang w:val="es-ES"/>
        </w:rPr>
        <w:t>sis de Korsak</w:t>
      </w:r>
      <w:r w:rsidR="00E81491" w:rsidRPr="00023401">
        <w:rPr>
          <w:rFonts w:ascii="Avenir Book" w:hAnsi="Avenir Book" w:cs="Arial"/>
          <w:sz w:val="20"/>
          <w:szCs w:val="20"/>
          <w:lang w:val="es-ES"/>
        </w:rPr>
        <w:t>off</w:t>
      </w:r>
      <w:r w:rsidR="00A84680" w:rsidRPr="00023401">
        <w:rPr>
          <w:rFonts w:ascii="Avenir Book" w:hAnsi="Avenir Book" w:cs="Arial"/>
          <w:sz w:val="20"/>
          <w:szCs w:val="20"/>
          <w:lang w:val="es-ES"/>
        </w:rPr>
        <w:t xml:space="preserve"> (amnesia y confus</w:t>
      </w:r>
      <w:r w:rsidR="00E81491" w:rsidRPr="00023401">
        <w:rPr>
          <w:rFonts w:ascii="Avenir Book" w:hAnsi="Avenir Book" w:cs="Arial"/>
          <w:sz w:val="20"/>
          <w:szCs w:val="20"/>
          <w:lang w:val="es-ES"/>
        </w:rPr>
        <w:t xml:space="preserve">ión mental). </w:t>
      </w:r>
      <w:r w:rsidR="00A84680" w:rsidRPr="00023401">
        <w:rPr>
          <w:rFonts w:ascii="Avenir Book" w:hAnsi="Avenir Book" w:cs="Arial"/>
          <w:sz w:val="20"/>
          <w:szCs w:val="20"/>
          <w:lang w:val="es-ES"/>
        </w:rPr>
        <w:t>El conjunto se conoce como síndrome de Wernicke-Korsakoff</w:t>
      </w:r>
      <w:r w:rsidR="0071012E" w:rsidRPr="00023401">
        <w:rPr>
          <w:rFonts w:ascii="Avenir Book" w:hAnsi="Avenir Book" w:cs="Arial"/>
          <w:sz w:val="20"/>
          <w:szCs w:val="20"/>
          <w:lang w:val="es-ES"/>
        </w:rPr>
        <w:t xml:space="preserve"> </w:t>
      </w:r>
      <w:r w:rsidR="0071012E" w:rsidRPr="00023401">
        <w:rPr>
          <w:rFonts w:ascii="Avenir Book" w:hAnsi="Avenir Book" w:cs="Arial"/>
          <w:sz w:val="20"/>
          <w:szCs w:val="20"/>
          <w:lang w:val="es-ES"/>
        </w:rPr>
        <w:fldChar w:fldCharType="begin" w:fldLock="1"/>
      </w:r>
      <w:r w:rsidR="002C0BE3" w:rsidRPr="00023401">
        <w:rPr>
          <w:rFonts w:ascii="Avenir Book" w:hAnsi="Avenir Book" w:cs="Arial"/>
          <w:sz w:val="20"/>
          <w:szCs w:val="20"/>
          <w:lang w:val="es-ES"/>
        </w:rPr>
        <w:instrText>ADDIN CSL_CITATION { "citationItems" : [ { "id" : "ITEM-1", "itemData" : { "URL" : "http://www.fao.org/docrep/006/w0073s/w0073s0k.htm", "accessed" : { "date-parts" : [ [ "2017", "11", "28" ] ] }, "id" : "ITEM-1", "issued" : { "date-parts" : [ [ "0" ] ] }, "title" : "Cap\u00edtulo 16: Beriberi y carencia de tiamina", "type" : "webpage" }, "uris" : [ "http://www.mendeley.com/documents/?uuid=a24720f3-bfe0-302c-b291-3d08a54d7f56" ] } ], "mendeley" : { "formattedCitation" : "(4)", "plainTextFormattedCitation" : "(4)", "previouslyFormattedCitation" : "(4)" }, "properties" : { "noteIndex" : 0 }, "schema" : "https://github.com/citation-style-language/schema/raw/master/csl-citation.json" }</w:instrText>
      </w:r>
      <w:r w:rsidR="0071012E" w:rsidRPr="00023401">
        <w:rPr>
          <w:rFonts w:ascii="Avenir Book" w:hAnsi="Avenir Book" w:cs="Arial"/>
          <w:sz w:val="20"/>
          <w:szCs w:val="20"/>
          <w:lang w:val="es-ES"/>
        </w:rPr>
        <w:fldChar w:fldCharType="separate"/>
      </w:r>
      <w:r w:rsidR="002C0BE3" w:rsidRPr="00023401">
        <w:rPr>
          <w:rFonts w:ascii="Avenir Book" w:hAnsi="Avenir Book" w:cs="Arial"/>
          <w:noProof/>
          <w:sz w:val="20"/>
          <w:szCs w:val="20"/>
          <w:lang w:val="es-ES"/>
        </w:rPr>
        <w:t>(4)</w:t>
      </w:r>
      <w:r w:rsidR="0071012E" w:rsidRPr="00023401">
        <w:rPr>
          <w:rFonts w:ascii="Avenir Book" w:hAnsi="Avenir Book" w:cs="Arial"/>
          <w:sz w:val="20"/>
          <w:szCs w:val="20"/>
          <w:lang w:val="es-ES"/>
        </w:rPr>
        <w:fldChar w:fldCharType="end"/>
      </w:r>
      <w:r w:rsidR="0071012E" w:rsidRPr="00023401">
        <w:rPr>
          <w:rFonts w:ascii="Avenir Book" w:hAnsi="Avenir Book" w:cs="Arial"/>
          <w:sz w:val="20"/>
          <w:szCs w:val="20"/>
          <w:lang w:val="es-ES"/>
        </w:rPr>
        <w:fldChar w:fldCharType="begin" w:fldLock="1"/>
      </w:r>
      <w:r w:rsidR="000C78A2">
        <w:rPr>
          <w:rFonts w:ascii="Avenir Book" w:hAnsi="Avenir Book" w:cs="Arial"/>
          <w:sz w:val="20"/>
          <w:szCs w:val="20"/>
          <w:lang w:val="es-ES"/>
        </w:rPr>
        <w:instrText>ADDIN CSL_CITATION { "citationItems" : [ { "id" : "ITEM-1", "itemData" : { "URL" : "http://www.pennutrition.com/KnowledgePathway.aspx?kpid=1417&amp;trid=22372&amp;trcatid=38", "accessed" : { "date-parts" : [ [ "2017", "11", "28" ] ] }, "id" : "ITEM-1", "issued" : { "date-parts" : [ [ "0" ] ] }, "title" : "Dietitians of Canada. Alcohol Background. In: Practice-based Evidence in Nutrition (PEN). 2014 Jul 7 (cited 28 Nov 2017). Available from: http://www.pennutrition.com/KnowledgePathway.aspx?kpid=1417&amp;amp;trid=22372&amp;amp;trcatid=38", "type" : "webpage" }, "uris" : [ "http://www.mendeley.com/documents/?uuid=0d13b39b-96a4-3540-a789-cfe81a8651f0" ] } ], "mendeley" : { "formattedCitation" : "(5)", "plainTextFormattedCitation" : "(5)", "previouslyFormattedCitation" : "(5)" }, "properties" : { "noteIndex" : 0 }, "schema" : "https://github.com/citation-style-language/schema/raw/master/csl-citation.json" }</w:instrText>
      </w:r>
      <w:r w:rsidR="0071012E" w:rsidRPr="00023401">
        <w:rPr>
          <w:rFonts w:ascii="Avenir Book" w:hAnsi="Avenir Book" w:cs="Arial"/>
          <w:sz w:val="20"/>
          <w:szCs w:val="20"/>
          <w:lang w:val="es-ES"/>
        </w:rPr>
        <w:fldChar w:fldCharType="separate"/>
      </w:r>
      <w:r w:rsidR="000C78A2" w:rsidRPr="000C78A2">
        <w:rPr>
          <w:rFonts w:ascii="Avenir Book" w:hAnsi="Avenir Book" w:cs="Arial"/>
          <w:noProof/>
          <w:sz w:val="20"/>
          <w:szCs w:val="20"/>
          <w:lang w:val="es-ES"/>
        </w:rPr>
        <w:t>(5)</w:t>
      </w:r>
      <w:r w:rsidR="0071012E" w:rsidRPr="00023401">
        <w:rPr>
          <w:rFonts w:ascii="Avenir Book" w:hAnsi="Avenir Book" w:cs="Arial"/>
          <w:sz w:val="20"/>
          <w:szCs w:val="20"/>
          <w:lang w:val="es-ES"/>
        </w:rPr>
        <w:fldChar w:fldCharType="end"/>
      </w:r>
      <w:r w:rsidR="00A84680" w:rsidRPr="00023401">
        <w:rPr>
          <w:rFonts w:ascii="Avenir Book" w:hAnsi="Avenir Book" w:cs="Arial"/>
          <w:sz w:val="20"/>
          <w:szCs w:val="20"/>
          <w:lang w:val="es-ES"/>
        </w:rPr>
        <w:t>.</w:t>
      </w:r>
      <w:r w:rsidR="00E81491" w:rsidRPr="00023401">
        <w:rPr>
          <w:rFonts w:ascii="Avenir Book" w:hAnsi="Avenir Book" w:cs="Arial"/>
          <w:sz w:val="20"/>
          <w:szCs w:val="20"/>
          <w:lang w:val="es-ES"/>
        </w:rPr>
        <w:t xml:space="preserve"> </w:t>
      </w:r>
    </w:p>
    <w:p w14:paraId="4D133BDD" w14:textId="213B2DC3" w:rsidR="004C6E4F" w:rsidRPr="00023401" w:rsidRDefault="00EB7557" w:rsidP="004C6E4F">
      <w:pPr>
        <w:pStyle w:val="Prrafodelista"/>
        <w:widowControl w:val="0"/>
        <w:numPr>
          <w:ilvl w:val="0"/>
          <w:numId w:val="2"/>
        </w:numPr>
        <w:autoSpaceDE w:val="0"/>
        <w:autoSpaceDN w:val="0"/>
        <w:adjustRightInd w:val="0"/>
        <w:spacing w:after="240" w:line="276" w:lineRule="auto"/>
        <w:rPr>
          <w:rFonts w:ascii="Avenir Book" w:hAnsi="Avenir Book" w:cs="Arial"/>
          <w:sz w:val="20"/>
          <w:szCs w:val="20"/>
          <w:lang w:val="es-ES"/>
        </w:rPr>
      </w:pPr>
      <w:r w:rsidRPr="00023401">
        <w:rPr>
          <w:rFonts w:ascii="Avenir Book" w:hAnsi="Avenir Book" w:cs="Arial"/>
          <w:sz w:val="20"/>
          <w:szCs w:val="20"/>
          <w:lang w:val="es-ES"/>
        </w:rPr>
        <w:t xml:space="preserve">dietas con </w:t>
      </w:r>
      <w:r w:rsidR="00C36879" w:rsidRPr="00023401">
        <w:rPr>
          <w:rFonts w:ascii="Avenir Book" w:hAnsi="Avenir Book" w:cs="Arial"/>
          <w:sz w:val="20"/>
          <w:szCs w:val="20"/>
          <w:lang w:val="es-ES"/>
        </w:rPr>
        <w:t>consumo elevado</w:t>
      </w:r>
      <w:r w:rsidR="004C6E4F" w:rsidRPr="00023401">
        <w:rPr>
          <w:rFonts w:ascii="Avenir Book" w:hAnsi="Avenir Book" w:cs="Arial"/>
          <w:sz w:val="20"/>
          <w:szCs w:val="20"/>
          <w:lang w:val="es-ES"/>
        </w:rPr>
        <w:t xml:space="preserve"> de hidratos de carbono</w:t>
      </w:r>
      <w:r w:rsidR="007042DF" w:rsidRPr="00023401">
        <w:rPr>
          <w:rFonts w:ascii="Avenir Book" w:hAnsi="Avenir Book" w:cs="Arial"/>
          <w:sz w:val="20"/>
          <w:szCs w:val="20"/>
          <w:lang w:val="es-ES"/>
        </w:rPr>
        <w:t xml:space="preserve"> refinados</w:t>
      </w:r>
      <w:r w:rsidR="004C6E4F" w:rsidRPr="00023401">
        <w:rPr>
          <w:rFonts w:ascii="Avenir Book" w:hAnsi="Avenir Book" w:cs="Arial"/>
          <w:sz w:val="20"/>
          <w:szCs w:val="20"/>
          <w:lang w:val="es-ES"/>
        </w:rPr>
        <w:t xml:space="preserve"> (deportistas)</w:t>
      </w:r>
      <w:r w:rsidR="008B28F6">
        <w:rPr>
          <w:rFonts w:ascii="Avenir Book" w:hAnsi="Avenir Book" w:cs="Arial"/>
          <w:sz w:val="20"/>
          <w:szCs w:val="20"/>
          <w:lang w:val="es-ES"/>
        </w:rPr>
        <w:t xml:space="preserve"> </w:t>
      </w:r>
      <w:r w:rsidR="008B28F6" w:rsidRPr="008B28F6">
        <w:rPr>
          <w:rFonts w:ascii="Avenir Book" w:hAnsi="Avenir Book" w:cs="Arial"/>
          <w:sz w:val="20"/>
          <w:szCs w:val="20"/>
          <w:lang w:val="es-ES"/>
        </w:rPr>
        <w:sym w:font="Wingdings" w:char="F0E0"/>
      </w:r>
      <w:r w:rsidR="006339D7">
        <w:rPr>
          <w:rFonts w:ascii="Avenir Book" w:hAnsi="Avenir Book" w:cs="Arial"/>
          <w:sz w:val="20"/>
          <w:szCs w:val="20"/>
          <w:lang w:val="es-ES"/>
        </w:rPr>
        <w:t xml:space="preserve"> ya que</w:t>
      </w:r>
      <w:r w:rsidR="00665C9D">
        <w:rPr>
          <w:rFonts w:ascii="Avenir Book" w:hAnsi="Avenir Book" w:cs="Arial"/>
          <w:sz w:val="20"/>
          <w:szCs w:val="20"/>
          <w:lang w:val="es-ES"/>
        </w:rPr>
        <w:t xml:space="preserve"> </w:t>
      </w:r>
      <w:r w:rsidR="006339D7">
        <w:rPr>
          <w:rFonts w:ascii="Avenir Book" w:hAnsi="Avenir Book" w:cs="Arial"/>
          <w:sz w:val="20"/>
          <w:szCs w:val="20"/>
          <w:lang w:val="es-ES"/>
        </w:rPr>
        <w:t xml:space="preserve">se da el caso de que: </w:t>
      </w:r>
      <w:r w:rsidR="00665C9D">
        <w:rPr>
          <w:rFonts w:ascii="Avenir Book" w:hAnsi="Avenir Book" w:cs="Arial"/>
          <w:sz w:val="20"/>
          <w:szCs w:val="20"/>
          <w:lang w:val="es-ES"/>
        </w:rPr>
        <w:t>la vitamina B1</w:t>
      </w:r>
      <w:r w:rsidR="006339D7">
        <w:rPr>
          <w:rFonts w:ascii="Avenir Book" w:hAnsi="Avenir Book" w:cs="Arial"/>
          <w:sz w:val="20"/>
          <w:szCs w:val="20"/>
          <w:lang w:val="es-ES"/>
        </w:rPr>
        <w:t xml:space="preserve"> es necesaria para el correcto metabolismo de los HC y que una de las principales fuentes son los cereales integrales (la vit B1 </w:t>
      </w:r>
      <w:r w:rsidR="00665C9D">
        <w:rPr>
          <w:rFonts w:ascii="Avenir Book" w:hAnsi="Avenir Book" w:cs="Arial"/>
          <w:sz w:val="20"/>
          <w:szCs w:val="20"/>
          <w:lang w:val="es-ES"/>
        </w:rPr>
        <w:t xml:space="preserve">se encunetra principalmente en el </w:t>
      </w:r>
      <w:r w:rsidR="00E6306B">
        <w:rPr>
          <w:rFonts w:ascii="Avenir Book" w:hAnsi="Avenir Book" w:cs="Arial"/>
          <w:sz w:val="20"/>
          <w:szCs w:val="20"/>
          <w:lang w:val="es-ES"/>
        </w:rPr>
        <w:t>germen</w:t>
      </w:r>
      <w:r w:rsidR="00665C9D">
        <w:rPr>
          <w:rFonts w:ascii="Avenir Book" w:hAnsi="Avenir Book" w:cs="Arial"/>
          <w:sz w:val="20"/>
          <w:szCs w:val="20"/>
          <w:lang w:val="es-ES"/>
        </w:rPr>
        <w:t xml:space="preserve"> de los cereales</w:t>
      </w:r>
      <w:r w:rsidR="008B28F6">
        <w:rPr>
          <w:rFonts w:ascii="Avenir Book" w:hAnsi="Avenir Book" w:cs="Arial"/>
          <w:sz w:val="20"/>
          <w:szCs w:val="20"/>
          <w:lang w:val="es-ES"/>
        </w:rPr>
        <w:t>, parte que suele perderse durante el proceso de refinamiento de estos</w:t>
      </w:r>
      <w:r w:rsidR="006339D7">
        <w:rPr>
          <w:rFonts w:ascii="Avenir Book" w:hAnsi="Avenir Book" w:cs="Arial"/>
          <w:sz w:val="20"/>
          <w:szCs w:val="20"/>
          <w:lang w:val="es-ES"/>
        </w:rPr>
        <w:t>).</w:t>
      </w:r>
    </w:p>
    <w:p w14:paraId="187AD54E" w14:textId="45D00B4B" w:rsidR="00FA6851" w:rsidRPr="007042DF" w:rsidRDefault="00FA6851" w:rsidP="00C23174">
      <w:pPr>
        <w:pStyle w:val="Prrafodelista"/>
        <w:widowControl w:val="0"/>
        <w:numPr>
          <w:ilvl w:val="0"/>
          <w:numId w:val="2"/>
        </w:numPr>
        <w:autoSpaceDE w:val="0"/>
        <w:autoSpaceDN w:val="0"/>
        <w:adjustRightInd w:val="0"/>
        <w:spacing w:after="240" w:line="276" w:lineRule="auto"/>
        <w:rPr>
          <w:rFonts w:ascii="Avenir Book" w:hAnsi="Avenir Book" w:cs="Arial"/>
          <w:sz w:val="20"/>
          <w:szCs w:val="20"/>
          <w:lang w:val="es-ES"/>
        </w:rPr>
      </w:pPr>
      <w:r w:rsidRPr="003067E0">
        <w:rPr>
          <w:rFonts w:ascii="Avenir Book" w:hAnsi="Avenir Book" w:cs="Arial"/>
          <w:sz w:val="20"/>
          <w:szCs w:val="20"/>
          <w:lang w:val="es-ES"/>
        </w:rPr>
        <w:t xml:space="preserve">en pacientes desnutridos </w:t>
      </w:r>
      <w:r w:rsidR="008445AA">
        <w:rPr>
          <w:rFonts w:ascii="Avenir Book" w:hAnsi="Avenir Book" w:cs="Arial"/>
          <w:sz w:val="20"/>
          <w:szCs w:val="20"/>
          <w:lang w:val="es-ES"/>
        </w:rPr>
        <w:t>a los que se les administra</w:t>
      </w:r>
      <w:r>
        <w:rPr>
          <w:rFonts w:ascii="Avenir Book" w:hAnsi="Avenir Book" w:cs="Arial"/>
          <w:sz w:val="20"/>
          <w:szCs w:val="20"/>
          <w:lang w:val="es-ES"/>
        </w:rPr>
        <w:t xml:space="preserve"> </w:t>
      </w:r>
      <w:r w:rsidRPr="003067E0">
        <w:rPr>
          <w:rFonts w:ascii="Avenir Book" w:hAnsi="Avenir Book" w:cs="Arial"/>
          <w:sz w:val="20"/>
          <w:szCs w:val="20"/>
          <w:lang w:val="es-ES"/>
        </w:rPr>
        <w:t>nutrición pare</w:t>
      </w:r>
      <w:r>
        <w:rPr>
          <w:rFonts w:ascii="Avenir Book" w:hAnsi="Avenir Book" w:cs="Arial"/>
          <w:sz w:val="20"/>
          <w:szCs w:val="20"/>
          <w:lang w:val="es-ES"/>
        </w:rPr>
        <w:t xml:space="preserve">nteral total a base de glucosa </w:t>
      </w:r>
      <w:r w:rsidRPr="000B7FD1">
        <w:rPr>
          <w:rFonts w:ascii="Avenir Book" w:hAnsi="Avenir Book" w:cs="Arial"/>
          <w:sz w:val="20"/>
          <w:szCs w:val="20"/>
          <w:lang w:val="es-ES"/>
        </w:rPr>
        <w:sym w:font="Wingdings" w:char="F0E0"/>
      </w:r>
      <w:r>
        <w:rPr>
          <w:rFonts w:ascii="Avenir Book" w:hAnsi="Avenir Book" w:cs="Arial"/>
          <w:sz w:val="20"/>
          <w:szCs w:val="20"/>
          <w:lang w:val="es-ES"/>
        </w:rPr>
        <w:t xml:space="preserve"> siempre tiene que administrarse conjuntamente con una dosi </w:t>
      </w:r>
      <w:r>
        <w:rPr>
          <w:rFonts w:ascii="Avenir Book" w:hAnsi="Avenir Book" w:cs="Arial"/>
          <w:sz w:val="20"/>
          <w:szCs w:val="20"/>
          <w:lang w:val="es-ES"/>
        </w:rPr>
        <w:lastRenderedPageBreak/>
        <w:t>de vitamina B1 para asegurar el correcto metabolisma de la glucosa</w:t>
      </w:r>
      <w:r w:rsidR="007042DF">
        <w:rPr>
          <w:rFonts w:ascii="Avenir Book" w:hAnsi="Avenir Book" w:cs="Arial"/>
          <w:sz w:val="20"/>
          <w:szCs w:val="20"/>
          <w:lang w:val="es-ES"/>
        </w:rPr>
        <w:t xml:space="preserve"> </w:t>
      </w:r>
      <w:r w:rsidR="007042DF">
        <w:rPr>
          <w:rFonts w:ascii="Avenir Book" w:hAnsi="Avenir Book" w:cs="Arial"/>
          <w:sz w:val="20"/>
          <w:szCs w:val="20"/>
          <w:lang w:val="es-ES"/>
        </w:rPr>
        <w:fldChar w:fldCharType="begin" w:fldLock="1"/>
      </w:r>
      <w:r w:rsidR="008445AA">
        <w:rPr>
          <w:rFonts w:ascii="Avenir Book" w:hAnsi="Avenir Book" w:cs="Arial"/>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7042DF">
        <w:rPr>
          <w:rFonts w:ascii="Avenir Book" w:hAnsi="Avenir Book" w:cs="Arial"/>
          <w:sz w:val="20"/>
          <w:szCs w:val="20"/>
          <w:lang w:val="es-ES"/>
        </w:rPr>
        <w:fldChar w:fldCharType="separate"/>
      </w:r>
      <w:r w:rsidR="007042DF" w:rsidRPr="007042DF">
        <w:rPr>
          <w:rFonts w:ascii="Avenir Book" w:hAnsi="Avenir Book" w:cs="Arial"/>
          <w:noProof/>
          <w:sz w:val="20"/>
          <w:szCs w:val="20"/>
          <w:lang w:val="es-ES"/>
        </w:rPr>
        <w:t>(1)</w:t>
      </w:r>
      <w:r w:rsidR="007042DF">
        <w:rPr>
          <w:rFonts w:ascii="Avenir Book" w:hAnsi="Avenir Book" w:cs="Arial"/>
          <w:sz w:val="20"/>
          <w:szCs w:val="20"/>
          <w:lang w:val="es-ES"/>
        </w:rPr>
        <w:fldChar w:fldCharType="end"/>
      </w:r>
      <w:r>
        <w:rPr>
          <w:rFonts w:ascii="Avenir Book" w:hAnsi="Avenir Book" w:cs="Arial"/>
          <w:sz w:val="20"/>
          <w:szCs w:val="20"/>
          <w:lang w:val="es-ES"/>
        </w:rPr>
        <w:t>.</w:t>
      </w:r>
    </w:p>
    <w:p w14:paraId="519853E7" w14:textId="1DD29366" w:rsidR="00977C70" w:rsidRPr="002D31DF" w:rsidRDefault="008445AA" w:rsidP="00C23174">
      <w:pPr>
        <w:pStyle w:val="Prrafodelista"/>
        <w:widowControl w:val="0"/>
        <w:numPr>
          <w:ilvl w:val="0"/>
          <w:numId w:val="2"/>
        </w:numPr>
        <w:autoSpaceDE w:val="0"/>
        <w:autoSpaceDN w:val="0"/>
        <w:adjustRightInd w:val="0"/>
        <w:spacing w:after="240" w:line="276" w:lineRule="auto"/>
        <w:rPr>
          <w:rFonts w:ascii="Avenir Book" w:hAnsi="Avenir Book" w:cs="Arial"/>
          <w:sz w:val="20"/>
          <w:szCs w:val="20"/>
          <w:lang w:val="es-ES"/>
        </w:rPr>
      </w:pPr>
      <w:r>
        <w:rPr>
          <w:rFonts w:ascii="Avenir Book" w:hAnsi="Avenir Book" w:cs="Arial"/>
          <w:sz w:val="20"/>
          <w:szCs w:val="20"/>
          <w:lang w:val="es-ES"/>
        </w:rPr>
        <w:t>pacientes con enfermedades infl</w:t>
      </w:r>
      <w:r w:rsidR="00665C9D">
        <w:rPr>
          <w:rFonts w:ascii="Avenir Book" w:hAnsi="Avenir Book" w:cs="Arial"/>
          <w:sz w:val="20"/>
          <w:szCs w:val="20"/>
          <w:lang w:val="es-ES"/>
        </w:rPr>
        <w:t>amatorias intestinales (Chron) o con cirug</w:t>
      </w:r>
      <w:r w:rsidR="008B28F6">
        <w:rPr>
          <w:rFonts w:ascii="Avenir Book" w:hAnsi="Avenir Book" w:cs="Arial"/>
          <w:sz w:val="20"/>
          <w:szCs w:val="20"/>
          <w:lang w:val="es-ES"/>
        </w:rPr>
        <w:t xml:space="preserve">ía bariátirca </w:t>
      </w:r>
      <w:r w:rsidR="008B28F6" w:rsidRPr="008B28F6">
        <w:rPr>
          <w:rFonts w:ascii="Avenir Book" w:hAnsi="Avenir Book" w:cs="Arial"/>
          <w:sz w:val="20"/>
          <w:szCs w:val="20"/>
          <w:lang w:val="es-ES"/>
        </w:rPr>
        <w:sym w:font="Wingdings" w:char="F0E0"/>
      </w:r>
      <w:r w:rsidR="008B28F6">
        <w:rPr>
          <w:rFonts w:ascii="Avenir Book" w:hAnsi="Avenir Book" w:cs="Arial"/>
          <w:sz w:val="20"/>
          <w:szCs w:val="20"/>
          <w:lang w:val="es-ES"/>
        </w:rPr>
        <w:t xml:space="preserve"> estas</w:t>
      </w:r>
      <w:r w:rsidR="00665C9D">
        <w:rPr>
          <w:rFonts w:ascii="Avenir Book" w:hAnsi="Avenir Book" w:cs="Arial"/>
          <w:sz w:val="20"/>
          <w:szCs w:val="20"/>
          <w:lang w:val="es-ES"/>
        </w:rPr>
        <w:t xml:space="preserve"> situaciones</w:t>
      </w:r>
      <w:r>
        <w:rPr>
          <w:rFonts w:ascii="Avenir Book" w:hAnsi="Avenir Book" w:cs="Arial"/>
          <w:sz w:val="20"/>
          <w:szCs w:val="20"/>
          <w:lang w:val="es-ES"/>
        </w:rPr>
        <w:t xml:space="preserve"> </w:t>
      </w:r>
      <w:r w:rsidR="00C36879">
        <w:rPr>
          <w:rFonts w:ascii="Avenir Book" w:hAnsi="Avenir Book" w:cs="Arial"/>
          <w:sz w:val="20"/>
          <w:szCs w:val="20"/>
          <w:lang w:val="es-ES"/>
        </w:rPr>
        <w:t>pueden ir</w:t>
      </w:r>
      <w:r>
        <w:rPr>
          <w:rFonts w:ascii="Avenir Book" w:hAnsi="Avenir Book" w:cs="Arial"/>
          <w:sz w:val="20"/>
          <w:szCs w:val="20"/>
          <w:lang w:val="es-ES"/>
        </w:rPr>
        <w:t xml:space="preserve"> acompañadas de una posible malabsorción de nutrientes</w:t>
      </w:r>
      <w:r w:rsidR="00665C9D">
        <w:rPr>
          <w:rFonts w:ascii="Avenir Book" w:hAnsi="Avenir Book" w:cs="Arial"/>
          <w:sz w:val="20"/>
          <w:szCs w:val="20"/>
          <w:lang w:val="es-ES"/>
        </w:rPr>
        <w:t xml:space="preserve"> </w:t>
      </w:r>
      <w:r w:rsidR="00665C9D">
        <w:rPr>
          <w:rFonts w:ascii="Avenir Book" w:hAnsi="Avenir Book" w:cs="Arial"/>
          <w:sz w:val="20"/>
          <w:szCs w:val="20"/>
          <w:lang w:val="es-ES"/>
        </w:rPr>
        <w:fldChar w:fldCharType="begin" w:fldLock="1"/>
      </w:r>
      <w:r w:rsidR="008060B0">
        <w:rPr>
          <w:rFonts w:ascii="Avenir Book" w:hAnsi="Avenir Book" w:cs="Arial"/>
          <w:sz w:val="20"/>
          <w:szCs w:val="20"/>
          <w:lang w:val="es-ES"/>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665C9D">
        <w:rPr>
          <w:rFonts w:ascii="Avenir Book" w:hAnsi="Avenir Book" w:cs="Arial"/>
          <w:sz w:val="20"/>
          <w:szCs w:val="20"/>
          <w:lang w:val="es-ES"/>
        </w:rPr>
        <w:fldChar w:fldCharType="separate"/>
      </w:r>
      <w:r w:rsidR="00665C9D" w:rsidRPr="00665C9D">
        <w:rPr>
          <w:rFonts w:ascii="Avenir Book" w:hAnsi="Avenir Book" w:cs="Arial"/>
          <w:noProof/>
          <w:sz w:val="20"/>
          <w:szCs w:val="20"/>
          <w:lang w:val="es-ES"/>
        </w:rPr>
        <w:t>(2)</w:t>
      </w:r>
      <w:r w:rsidR="00665C9D">
        <w:rPr>
          <w:rFonts w:ascii="Avenir Book" w:hAnsi="Avenir Book" w:cs="Arial"/>
          <w:sz w:val="20"/>
          <w:szCs w:val="20"/>
          <w:lang w:val="es-ES"/>
        </w:rPr>
        <w:fldChar w:fldCharType="end"/>
      </w:r>
      <w:r>
        <w:rPr>
          <w:rFonts w:ascii="Avenir Book" w:hAnsi="Avenir Book" w:cs="Arial"/>
          <w:sz w:val="20"/>
          <w:szCs w:val="20"/>
          <w:lang w:val="es-ES"/>
        </w:rPr>
        <w:t>.</w:t>
      </w:r>
    </w:p>
    <w:p w14:paraId="71FC6B24" w14:textId="77777777" w:rsidR="00170D09" w:rsidRDefault="00170D09" w:rsidP="00170D09">
      <w:pPr>
        <w:spacing w:line="276" w:lineRule="auto"/>
        <w:rPr>
          <w:rFonts w:ascii="Avenir Book" w:hAnsi="Avenir Book" w:cs="Arial"/>
          <w:b/>
          <w:color w:val="4F81BD" w:themeColor="accent1"/>
          <w:sz w:val="20"/>
          <w:szCs w:val="20"/>
        </w:rPr>
      </w:pPr>
      <w:r w:rsidRPr="00170D09">
        <w:rPr>
          <w:rFonts w:ascii="Avenir Book" w:hAnsi="Avenir Book" w:cs="Arial"/>
          <w:b/>
          <w:color w:val="4F81BD" w:themeColor="accent1"/>
          <w:sz w:val="20"/>
          <w:szCs w:val="20"/>
        </w:rPr>
        <w:t>2. Diagnóstico de una deficiencia</w:t>
      </w:r>
    </w:p>
    <w:p w14:paraId="765766CE" w14:textId="120FEC4B" w:rsidR="006339D7" w:rsidRPr="006339D7" w:rsidRDefault="00170D09" w:rsidP="006339D7">
      <w:pPr>
        <w:spacing w:line="276" w:lineRule="auto"/>
        <w:rPr>
          <w:rFonts w:ascii="Avenir Book" w:hAnsi="Avenir Book" w:cs="Arial"/>
          <w:sz w:val="20"/>
          <w:szCs w:val="20"/>
        </w:rPr>
      </w:pPr>
      <w:r>
        <w:rPr>
          <w:rFonts w:ascii="Avenir Book" w:hAnsi="Avenir Book" w:cs="Arial"/>
          <w:sz w:val="20"/>
          <w:szCs w:val="20"/>
        </w:rPr>
        <w:t xml:space="preserve">Para diagnositcar una deficiencia  en vitamina B1 se pueden utilizar diferentes métodos bioquímicos: </w:t>
      </w:r>
    </w:p>
    <w:p w14:paraId="1F6F22B9" w14:textId="2A611965" w:rsidR="00346294" w:rsidRDefault="00346294" w:rsidP="00C23174">
      <w:pPr>
        <w:pStyle w:val="Prrafodelista"/>
        <w:numPr>
          <w:ilvl w:val="0"/>
          <w:numId w:val="3"/>
        </w:numPr>
        <w:spacing w:line="276" w:lineRule="auto"/>
        <w:rPr>
          <w:rFonts w:ascii="Avenir Book" w:hAnsi="Avenir Book"/>
          <w:sz w:val="20"/>
          <w:szCs w:val="20"/>
        </w:rPr>
      </w:pPr>
      <w:r>
        <w:rPr>
          <w:rFonts w:ascii="Avenir Book" w:hAnsi="Avenir Book"/>
          <w:sz w:val="20"/>
          <w:szCs w:val="20"/>
        </w:rPr>
        <w:t>E</w:t>
      </w:r>
      <w:r w:rsidR="00C23174" w:rsidRPr="003067E0">
        <w:rPr>
          <w:rFonts w:ascii="Avenir Book" w:hAnsi="Avenir Book"/>
          <w:sz w:val="20"/>
          <w:szCs w:val="20"/>
        </w:rPr>
        <w:t xml:space="preserve">xcreción </w:t>
      </w:r>
      <w:r w:rsidR="00EE7C5F">
        <w:rPr>
          <w:rFonts w:ascii="Avenir Book" w:hAnsi="Avenir Book"/>
          <w:sz w:val="20"/>
          <w:szCs w:val="20"/>
        </w:rPr>
        <w:t xml:space="preserve">de </w:t>
      </w:r>
      <w:r w:rsidR="00C23174" w:rsidRPr="003067E0">
        <w:rPr>
          <w:rFonts w:ascii="Avenir Book" w:hAnsi="Avenir Book"/>
          <w:sz w:val="20"/>
          <w:szCs w:val="20"/>
        </w:rPr>
        <w:t>tiamina</w:t>
      </w:r>
      <w:r w:rsidR="00C23174" w:rsidRPr="003067E0">
        <w:rPr>
          <w:rFonts w:ascii="Avenir Book" w:hAnsi="Avenir Book"/>
          <w:sz w:val="20"/>
          <w:szCs w:val="20"/>
          <w:vertAlign w:val="subscript"/>
        </w:rPr>
        <w:t xml:space="preserve"> </w:t>
      </w:r>
      <w:r w:rsidR="00C23174" w:rsidRPr="003067E0">
        <w:rPr>
          <w:rFonts w:ascii="Avenir Book" w:hAnsi="Avenir Book"/>
          <w:sz w:val="20"/>
          <w:szCs w:val="20"/>
        </w:rPr>
        <w:t xml:space="preserve">en orina </w:t>
      </w:r>
      <w:r>
        <w:rPr>
          <w:rFonts w:ascii="Avenir Book" w:hAnsi="Avenir Book"/>
          <w:sz w:val="20"/>
          <w:szCs w:val="20"/>
        </w:rPr>
        <w:t>de 24h</w:t>
      </w:r>
      <w:r w:rsidR="00EE7C5F">
        <w:rPr>
          <w:rFonts w:ascii="Avenir Book" w:hAnsi="Avenir Book"/>
          <w:sz w:val="20"/>
          <w:szCs w:val="20"/>
        </w:rPr>
        <w:t xml:space="preserve"> </w:t>
      </w:r>
      <w:r w:rsidR="00023401">
        <w:rPr>
          <w:rFonts w:ascii="Avenir Book" w:hAnsi="Avenir Book"/>
          <w:sz w:val="20"/>
          <w:szCs w:val="20"/>
        </w:rPr>
        <w:fldChar w:fldCharType="begin" w:fldLock="1"/>
      </w:r>
      <w:r w:rsidR="00023401">
        <w:rPr>
          <w:rFonts w:ascii="Avenir Book" w:hAnsi="Avenir Book"/>
          <w:sz w:val="20"/>
          <w:szCs w:val="20"/>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023401">
        <w:rPr>
          <w:rFonts w:ascii="Avenir Book" w:hAnsi="Avenir Book"/>
          <w:sz w:val="20"/>
          <w:szCs w:val="20"/>
        </w:rPr>
        <w:fldChar w:fldCharType="separate"/>
      </w:r>
      <w:r w:rsidR="00023401" w:rsidRPr="00023401">
        <w:rPr>
          <w:rFonts w:ascii="Avenir Book" w:hAnsi="Avenir Book"/>
          <w:noProof/>
          <w:sz w:val="20"/>
          <w:szCs w:val="20"/>
        </w:rPr>
        <w:t>(2)</w:t>
      </w:r>
      <w:r w:rsidR="00023401">
        <w:rPr>
          <w:rFonts w:ascii="Avenir Book" w:hAnsi="Avenir Book"/>
          <w:sz w:val="20"/>
          <w:szCs w:val="20"/>
        </w:rPr>
        <w:fldChar w:fldCharType="end"/>
      </w:r>
      <w:r w:rsidR="00EE7C5F">
        <w:rPr>
          <w:rFonts w:ascii="Avenir Book" w:hAnsi="Avenir Book"/>
          <w:sz w:val="20"/>
          <w:szCs w:val="20"/>
        </w:rPr>
        <w:t>.</w:t>
      </w:r>
      <w:r>
        <w:rPr>
          <w:rFonts w:ascii="Avenir Book" w:hAnsi="Avenir Book"/>
          <w:sz w:val="20"/>
          <w:szCs w:val="20"/>
        </w:rPr>
        <w:t xml:space="preserve"> </w:t>
      </w:r>
    </w:p>
    <w:p w14:paraId="118C71B6" w14:textId="09E5A040" w:rsidR="00C23174" w:rsidRDefault="00346294" w:rsidP="00346294">
      <w:pPr>
        <w:spacing w:line="276" w:lineRule="auto"/>
        <w:ind w:left="360"/>
        <w:rPr>
          <w:rFonts w:ascii="Avenir Book" w:hAnsi="Avenir Book"/>
          <w:sz w:val="20"/>
          <w:szCs w:val="20"/>
        </w:rPr>
      </w:pPr>
      <w:r>
        <w:rPr>
          <w:rFonts w:ascii="Avenir Book" w:hAnsi="Avenir Book"/>
          <w:sz w:val="20"/>
          <w:szCs w:val="20"/>
        </w:rPr>
        <w:t>P</w:t>
      </w:r>
      <w:r w:rsidRPr="00346294">
        <w:rPr>
          <w:rFonts w:ascii="Avenir Book" w:hAnsi="Avenir Book"/>
          <w:sz w:val="20"/>
          <w:szCs w:val="20"/>
        </w:rPr>
        <w:t xml:space="preserve">ermite evaluar la ingesta de tiamina, especialmente a corto plazo, </w:t>
      </w:r>
      <w:r w:rsidR="002A3636">
        <w:rPr>
          <w:rFonts w:ascii="Avenir Book" w:hAnsi="Avenir Book"/>
          <w:sz w:val="20"/>
          <w:szCs w:val="20"/>
        </w:rPr>
        <w:t xml:space="preserve">pero </w:t>
      </w:r>
      <w:r w:rsidR="0087747D">
        <w:rPr>
          <w:rFonts w:ascii="Avenir Book" w:hAnsi="Avenir Book"/>
          <w:sz w:val="20"/>
          <w:szCs w:val="20"/>
        </w:rPr>
        <w:t>no se puede utilizar por si solo como</w:t>
      </w:r>
      <w:r w:rsidRPr="00346294">
        <w:rPr>
          <w:rFonts w:ascii="Avenir Book" w:hAnsi="Avenir Book"/>
          <w:sz w:val="20"/>
          <w:szCs w:val="20"/>
        </w:rPr>
        <w:t xml:space="preserve"> </w:t>
      </w:r>
      <w:r w:rsidR="0087747D">
        <w:rPr>
          <w:rFonts w:ascii="Avenir Book" w:hAnsi="Avenir Book"/>
          <w:sz w:val="20"/>
          <w:szCs w:val="20"/>
        </w:rPr>
        <w:t>b</w:t>
      </w:r>
      <w:r w:rsidRPr="00346294">
        <w:rPr>
          <w:rFonts w:ascii="Avenir Book" w:hAnsi="Avenir Book"/>
          <w:sz w:val="20"/>
          <w:szCs w:val="20"/>
        </w:rPr>
        <w:t>i</w:t>
      </w:r>
      <w:r w:rsidR="0087747D">
        <w:rPr>
          <w:rFonts w:ascii="Avenir Book" w:hAnsi="Avenir Book"/>
          <w:sz w:val="20"/>
          <w:szCs w:val="20"/>
        </w:rPr>
        <w:t>o</w:t>
      </w:r>
      <w:r w:rsidR="00255F88">
        <w:rPr>
          <w:rFonts w:ascii="Avenir Book" w:hAnsi="Avenir Book"/>
          <w:sz w:val="20"/>
          <w:szCs w:val="20"/>
        </w:rPr>
        <w:t>i</w:t>
      </w:r>
      <w:r w:rsidRPr="00346294">
        <w:rPr>
          <w:rFonts w:ascii="Avenir Book" w:hAnsi="Avenir Book"/>
          <w:sz w:val="20"/>
          <w:szCs w:val="20"/>
        </w:rPr>
        <w:t xml:space="preserve">ndicador de las reservas orgánicas </w:t>
      </w:r>
      <w:r w:rsidR="0087747D">
        <w:rPr>
          <w:rFonts w:ascii="Avenir Book" w:hAnsi="Avenir Book"/>
          <w:sz w:val="20"/>
          <w:szCs w:val="20"/>
        </w:rPr>
        <w:t>de vitamina B1 de un individuo</w:t>
      </w:r>
      <w:r w:rsidRPr="00346294">
        <w:rPr>
          <w:rFonts w:ascii="Avenir Book" w:hAnsi="Avenir Book"/>
          <w:sz w:val="20"/>
          <w:szCs w:val="20"/>
        </w:rPr>
        <w:t>.</w:t>
      </w:r>
      <w:r w:rsidR="000C78A2">
        <w:rPr>
          <w:rFonts w:ascii="Avenir Book" w:hAnsi="Avenir Book"/>
          <w:sz w:val="20"/>
          <w:szCs w:val="20"/>
        </w:rPr>
        <w:t xml:space="preserve"> Un aumento agudo de la curva de excreción de tiamina en orina se considera indicativo de la saturación de las reservas del cuerpo de esta vitamina </w:t>
      </w:r>
      <w:r w:rsidR="000C78A2">
        <w:rPr>
          <w:rFonts w:ascii="Avenir Book" w:hAnsi="Avenir Book"/>
          <w:sz w:val="20"/>
          <w:szCs w:val="20"/>
        </w:rPr>
        <w:fldChar w:fldCharType="begin" w:fldLock="1"/>
      </w:r>
      <w:r w:rsidR="002B4E78">
        <w:rPr>
          <w:rFonts w:ascii="Avenir Book" w:hAnsi="Avenir Book"/>
          <w:sz w:val="20"/>
          <w:szCs w:val="20"/>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0C78A2">
        <w:rPr>
          <w:rFonts w:ascii="Avenir Book" w:hAnsi="Avenir Book"/>
          <w:sz w:val="20"/>
          <w:szCs w:val="20"/>
        </w:rPr>
        <w:fldChar w:fldCharType="separate"/>
      </w:r>
      <w:r w:rsidR="000C78A2" w:rsidRPr="000C78A2">
        <w:rPr>
          <w:rFonts w:ascii="Avenir Book" w:hAnsi="Avenir Book"/>
          <w:noProof/>
          <w:sz w:val="20"/>
          <w:szCs w:val="20"/>
        </w:rPr>
        <w:t>(2)</w:t>
      </w:r>
      <w:r w:rsidR="000C78A2">
        <w:rPr>
          <w:rFonts w:ascii="Avenir Book" w:hAnsi="Avenir Book"/>
          <w:sz w:val="20"/>
          <w:szCs w:val="20"/>
        </w:rPr>
        <w:fldChar w:fldCharType="end"/>
      </w:r>
      <w:r w:rsidR="000C78A2">
        <w:rPr>
          <w:rFonts w:ascii="Avenir Book" w:hAnsi="Avenir Book"/>
          <w:sz w:val="20"/>
          <w:szCs w:val="20"/>
        </w:rPr>
        <w:t xml:space="preserve">. </w:t>
      </w:r>
      <w:r w:rsidR="00255F88">
        <w:rPr>
          <w:rFonts w:ascii="Avenir Book" w:hAnsi="Avenir Book"/>
          <w:sz w:val="20"/>
          <w:szCs w:val="20"/>
        </w:rPr>
        <w:t xml:space="preserve"> </w:t>
      </w:r>
      <w:r w:rsidRPr="00346294">
        <w:rPr>
          <w:rFonts w:ascii="Avenir Book" w:hAnsi="Avenir Book"/>
          <w:sz w:val="20"/>
          <w:szCs w:val="20"/>
        </w:rPr>
        <w:t xml:space="preserve"> </w:t>
      </w:r>
    </w:p>
    <w:p w14:paraId="2184FD7C" w14:textId="3795DC86" w:rsidR="00255F88" w:rsidRDefault="002A3636" w:rsidP="00346294">
      <w:pPr>
        <w:spacing w:line="276" w:lineRule="auto"/>
        <w:ind w:left="360"/>
        <w:rPr>
          <w:rFonts w:ascii="Avenir Book" w:hAnsi="Avenir Book" w:cs="Gill Sans"/>
          <w:sz w:val="20"/>
          <w:szCs w:val="20"/>
          <w:lang w:val="es-ES"/>
        </w:rPr>
      </w:pPr>
      <w:r>
        <w:rPr>
          <w:rFonts w:ascii="Avenir Book" w:hAnsi="Avenir Book" w:cs="Gill Sans"/>
          <w:sz w:val="20"/>
          <w:szCs w:val="20"/>
          <w:lang w:val="es-ES"/>
        </w:rPr>
        <w:t xml:space="preserve">Valores de referencia:  excreción inferior a 100mcg/día </w:t>
      </w:r>
      <w:r w:rsidRPr="002A3636">
        <w:rPr>
          <w:rFonts w:ascii="Avenir Book" w:hAnsi="Avenir Book" w:cs="Gill Sans"/>
          <w:sz w:val="20"/>
          <w:szCs w:val="20"/>
          <w:lang w:val="es-ES"/>
        </w:rPr>
        <w:sym w:font="Wingdings" w:char="F0E0"/>
      </w:r>
      <w:r>
        <w:rPr>
          <w:rFonts w:ascii="Avenir Book" w:hAnsi="Avenir Book" w:cs="Gill Sans"/>
          <w:sz w:val="20"/>
          <w:szCs w:val="20"/>
          <w:lang w:val="es-ES"/>
        </w:rPr>
        <w:t xml:space="preserve"> ingesta insuficiente </w:t>
      </w:r>
    </w:p>
    <w:p w14:paraId="6F25B30F" w14:textId="040EC8B2" w:rsidR="002A3636" w:rsidRDefault="002A3636" w:rsidP="00346294">
      <w:pPr>
        <w:spacing w:line="276" w:lineRule="auto"/>
        <w:ind w:left="360"/>
        <w:rPr>
          <w:rFonts w:ascii="Avenir Book" w:hAnsi="Avenir Book" w:cs="Gill Sans"/>
          <w:sz w:val="20"/>
          <w:szCs w:val="20"/>
          <w:lang w:val="es-ES"/>
        </w:rPr>
      </w:pPr>
      <w:r>
        <w:rPr>
          <w:rFonts w:ascii="Avenir Book" w:hAnsi="Avenir Book" w:cs="Gill Sans"/>
          <w:sz w:val="20"/>
          <w:szCs w:val="20"/>
          <w:lang w:val="es-ES"/>
        </w:rPr>
        <w:tab/>
      </w:r>
      <w:r>
        <w:rPr>
          <w:rFonts w:ascii="Avenir Book" w:hAnsi="Avenir Book" w:cs="Gill Sans"/>
          <w:sz w:val="20"/>
          <w:szCs w:val="20"/>
          <w:lang w:val="es-ES"/>
        </w:rPr>
        <w:tab/>
      </w:r>
      <w:r>
        <w:rPr>
          <w:rFonts w:ascii="Avenir Book" w:hAnsi="Avenir Book" w:cs="Gill Sans"/>
          <w:sz w:val="20"/>
          <w:szCs w:val="20"/>
          <w:lang w:val="es-ES"/>
        </w:rPr>
        <w:tab/>
        <w:t xml:space="preserve">     excreción inferior a 40mcg/día </w:t>
      </w:r>
      <w:r w:rsidRPr="002A3636">
        <w:rPr>
          <w:rFonts w:ascii="Avenir Book" w:hAnsi="Avenir Book" w:cs="Gill Sans"/>
          <w:sz w:val="20"/>
          <w:szCs w:val="20"/>
          <w:lang w:val="es-ES"/>
        </w:rPr>
        <w:sym w:font="Wingdings" w:char="F0E0"/>
      </w:r>
      <w:r>
        <w:rPr>
          <w:rFonts w:ascii="Avenir Book" w:hAnsi="Avenir Book" w:cs="Gill Sans"/>
          <w:sz w:val="20"/>
          <w:szCs w:val="20"/>
          <w:lang w:val="es-ES"/>
        </w:rPr>
        <w:t xml:space="preserve"> ingesta extremadamente baja</w:t>
      </w:r>
    </w:p>
    <w:p w14:paraId="4635F4A9" w14:textId="77777777" w:rsidR="006339D7" w:rsidRPr="00346294" w:rsidRDefault="006339D7" w:rsidP="00346294">
      <w:pPr>
        <w:spacing w:line="276" w:lineRule="auto"/>
        <w:ind w:left="360"/>
        <w:rPr>
          <w:rFonts w:ascii="Avenir Book" w:hAnsi="Avenir Book"/>
          <w:sz w:val="20"/>
          <w:szCs w:val="20"/>
        </w:rPr>
      </w:pPr>
    </w:p>
    <w:p w14:paraId="01737778" w14:textId="2B1C3770" w:rsidR="0087747D" w:rsidRDefault="0087747D" w:rsidP="0087747D">
      <w:pPr>
        <w:pStyle w:val="Prrafodelista"/>
        <w:numPr>
          <w:ilvl w:val="0"/>
          <w:numId w:val="3"/>
        </w:numPr>
        <w:spacing w:line="276" w:lineRule="auto"/>
        <w:rPr>
          <w:rFonts w:ascii="Avenir Book" w:hAnsi="Avenir Book" w:cs="Arial"/>
          <w:sz w:val="20"/>
          <w:szCs w:val="20"/>
        </w:rPr>
      </w:pPr>
      <w:r>
        <w:rPr>
          <w:rFonts w:ascii="Avenir Book" w:hAnsi="Avenir Book" w:cs="Gill Sans"/>
          <w:sz w:val="20"/>
          <w:szCs w:val="20"/>
          <w:lang w:val="es-ES"/>
        </w:rPr>
        <w:t>Determinación de</w:t>
      </w:r>
      <w:r w:rsidR="002A3636">
        <w:rPr>
          <w:rFonts w:ascii="Avenir Book" w:hAnsi="Avenir Book" w:cs="Gill Sans"/>
          <w:sz w:val="20"/>
          <w:szCs w:val="20"/>
          <w:lang w:val="es-ES"/>
        </w:rPr>
        <w:t xml:space="preserve"> </w:t>
      </w:r>
      <w:r>
        <w:rPr>
          <w:rFonts w:ascii="Avenir Book" w:hAnsi="Avenir Book" w:cs="Gill Sans"/>
          <w:sz w:val="20"/>
          <w:szCs w:val="20"/>
          <w:lang w:val="es-ES"/>
        </w:rPr>
        <w:t>l</w:t>
      </w:r>
      <w:r w:rsidR="002A3636">
        <w:rPr>
          <w:rFonts w:ascii="Avenir Book" w:hAnsi="Avenir Book" w:cs="Gill Sans"/>
          <w:sz w:val="20"/>
          <w:szCs w:val="20"/>
          <w:lang w:val="es-ES"/>
        </w:rPr>
        <w:t>a</w:t>
      </w:r>
      <w:r>
        <w:rPr>
          <w:rFonts w:ascii="Avenir Book" w:hAnsi="Avenir Book" w:cs="Gill Sans"/>
          <w:sz w:val="20"/>
          <w:szCs w:val="20"/>
          <w:lang w:val="es-ES"/>
        </w:rPr>
        <w:t xml:space="preserve"> actividad de la </w:t>
      </w:r>
      <w:r w:rsidRPr="003067E0">
        <w:rPr>
          <w:rFonts w:ascii="Avenir Book" w:hAnsi="Avenir Book" w:cs="Gill Sans"/>
          <w:sz w:val="20"/>
          <w:szCs w:val="20"/>
          <w:lang w:val="es-ES"/>
        </w:rPr>
        <w:t>transcetolasa</w:t>
      </w:r>
      <w:r>
        <w:rPr>
          <w:rFonts w:ascii="Avenir Book" w:hAnsi="Avenir Book" w:cs="Gill Sans"/>
          <w:sz w:val="20"/>
          <w:szCs w:val="20"/>
          <w:lang w:val="es-ES"/>
        </w:rPr>
        <w:t xml:space="preserve"> eritrocitaria (ETKA)</w:t>
      </w:r>
      <w:r w:rsidR="00023401">
        <w:rPr>
          <w:rFonts w:ascii="Avenir Book" w:hAnsi="Avenir Book" w:cs="Gill Sans"/>
          <w:sz w:val="20"/>
          <w:szCs w:val="20"/>
          <w:lang w:val="es-ES"/>
        </w:rPr>
        <w:t xml:space="preserve"> </w:t>
      </w:r>
      <w:r w:rsidR="00023401">
        <w:rPr>
          <w:rFonts w:ascii="Avenir Book" w:hAnsi="Avenir Book" w:cs="Gill Sans"/>
          <w:sz w:val="20"/>
          <w:szCs w:val="20"/>
          <w:lang w:val="es-ES"/>
        </w:rPr>
        <w:fldChar w:fldCharType="begin" w:fldLock="1"/>
      </w:r>
      <w:r w:rsidR="00665C9D">
        <w:rPr>
          <w:rFonts w:ascii="Avenir Book" w:hAnsi="Avenir Book" w:cs="Gill Sans"/>
          <w:sz w:val="20"/>
          <w:szCs w:val="20"/>
          <w:lang w:val="es-ES"/>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023401">
        <w:rPr>
          <w:rFonts w:ascii="Avenir Book" w:hAnsi="Avenir Book" w:cs="Gill Sans"/>
          <w:sz w:val="20"/>
          <w:szCs w:val="20"/>
          <w:lang w:val="es-ES"/>
        </w:rPr>
        <w:fldChar w:fldCharType="separate"/>
      </w:r>
      <w:r w:rsidR="00023401" w:rsidRPr="00023401">
        <w:rPr>
          <w:rFonts w:ascii="Avenir Book" w:hAnsi="Avenir Book" w:cs="Gill Sans"/>
          <w:noProof/>
          <w:sz w:val="20"/>
          <w:szCs w:val="20"/>
          <w:lang w:val="es-ES"/>
        </w:rPr>
        <w:t>(2)</w:t>
      </w:r>
      <w:r w:rsidR="00023401">
        <w:rPr>
          <w:rFonts w:ascii="Avenir Book" w:hAnsi="Avenir Book" w:cs="Gill Sans"/>
          <w:sz w:val="20"/>
          <w:szCs w:val="20"/>
          <w:lang w:val="es-ES"/>
        </w:rPr>
        <w:fldChar w:fldCharType="end"/>
      </w:r>
      <w:r>
        <w:rPr>
          <w:rFonts w:ascii="Avenir Book" w:hAnsi="Avenir Book" w:cs="Gill Sans"/>
          <w:sz w:val="20"/>
          <w:szCs w:val="20"/>
          <w:lang w:val="es-ES"/>
        </w:rPr>
        <w:t xml:space="preserve">. </w:t>
      </w:r>
    </w:p>
    <w:p w14:paraId="058FFCA9" w14:textId="4FF9DCF1" w:rsidR="002A3636" w:rsidRDefault="0087747D" w:rsidP="0087747D">
      <w:pPr>
        <w:spacing w:line="276" w:lineRule="auto"/>
        <w:ind w:left="360"/>
        <w:rPr>
          <w:rFonts w:ascii="Avenir Book" w:hAnsi="Avenir Book" w:cs="Gill Sans"/>
          <w:sz w:val="20"/>
          <w:szCs w:val="20"/>
          <w:lang w:val="es-ES"/>
        </w:rPr>
      </w:pPr>
      <w:r w:rsidRPr="0087747D">
        <w:rPr>
          <w:rFonts w:ascii="Avenir Book" w:hAnsi="Avenir Book" w:cs="Gill Sans"/>
          <w:sz w:val="20"/>
          <w:szCs w:val="20"/>
          <w:lang w:val="es-ES"/>
        </w:rPr>
        <w:t>Consiste en la valoración de la activi</w:t>
      </w:r>
      <w:r w:rsidR="002A3636">
        <w:rPr>
          <w:rFonts w:ascii="Avenir Book" w:hAnsi="Avenir Book" w:cs="Gill Sans"/>
          <w:sz w:val="20"/>
          <w:szCs w:val="20"/>
          <w:lang w:val="es-ES"/>
        </w:rPr>
        <w:t>dad transcetolasa eritrocitaria</w:t>
      </w:r>
      <w:r w:rsidRPr="0087747D">
        <w:rPr>
          <w:rFonts w:ascii="Avenir Book" w:hAnsi="Avenir Book" w:cs="Gill Sans"/>
          <w:sz w:val="20"/>
          <w:szCs w:val="20"/>
          <w:lang w:val="es-ES"/>
        </w:rPr>
        <w:t xml:space="preserve"> </w:t>
      </w:r>
      <w:r w:rsidR="002A3636">
        <w:rPr>
          <w:rFonts w:ascii="Avenir Book" w:hAnsi="Avenir Book" w:cs="Gill Sans"/>
          <w:sz w:val="20"/>
          <w:szCs w:val="20"/>
          <w:lang w:val="es-ES"/>
        </w:rPr>
        <w:t xml:space="preserve">en presencia y absencia de </w:t>
      </w:r>
      <w:r w:rsidR="00E6306B">
        <w:rPr>
          <w:rFonts w:ascii="Avenir Book" w:hAnsi="Avenir Book" w:cs="Gill Sans"/>
          <w:sz w:val="20"/>
          <w:szCs w:val="20"/>
          <w:lang w:val="es-ES"/>
        </w:rPr>
        <w:t>tiamina di</w:t>
      </w:r>
      <w:r w:rsidR="00E6306B" w:rsidRPr="0087747D">
        <w:rPr>
          <w:rFonts w:ascii="Avenir Book" w:hAnsi="Avenir Book" w:cs="Gill Sans"/>
          <w:sz w:val="20"/>
          <w:szCs w:val="20"/>
          <w:lang w:val="es-ES"/>
        </w:rPr>
        <w:t>fosfato</w:t>
      </w:r>
      <w:r w:rsidR="00E6306B">
        <w:rPr>
          <w:rFonts w:ascii="Avenir Book" w:hAnsi="Avenir Book" w:cs="Gill Sans"/>
          <w:sz w:val="20"/>
          <w:szCs w:val="20"/>
          <w:lang w:val="es-ES"/>
        </w:rPr>
        <w:t xml:space="preserve"> (TDP)</w:t>
      </w:r>
      <w:r w:rsidR="002A3636">
        <w:rPr>
          <w:rFonts w:ascii="Avenir Book" w:hAnsi="Avenir Book" w:cs="Gill Sans"/>
          <w:sz w:val="20"/>
          <w:szCs w:val="20"/>
          <w:lang w:val="es-ES"/>
        </w:rPr>
        <w:t xml:space="preserve"> adicionado</w:t>
      </w:r>
      <w:r w:rsidRPr="0087747D">
        <w:rPr>
          <w:rFonts w:ascii="Avenir Book" w:hAnsi="Avenir Book" w:cs="Gill Sans"/>
          <w:sz w:val="20"/>
          <w:szCs w:val="20"/>
          <w:lang w:val="es-ES"/>
        </w:rPr>
        <w:t xml:space="preserve"> </w:t>
      </w:r>
      <w:r w:rsidRPr="0087747D">
        <w:rPr>
          <w:rFonts w:ascii="Avenir Book" w:hAnsi="Avenir Book" w:cs="Gill Sans"/>
          <w:sz w:val="20"/>
          <w:szCs w:val="20"/>
          <w:lang w:val="es-ES"/>
        </w:rPr>
        <w:fldChar w:fldCharType="begin" w:fldLock="1"/>
      </w:r>
      <w:r w:rsidRPr="0087747D">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Pr="0087747D">
        <w:rPr>
          <w:rFonts w:ascii="Avenir Book" w:hAnsi="Avenir Book" w:cs="Gill Sans"/>
          <w:sz w:val="20"/>
          <w:szCs w:val="20"/>
          <w:lang w:val="es-ES"/>
        </w:rPr>
        <w:fldChar w:fldCharType="separate"/>
      </w:r>
      <w:r w:rsidRPr="0087747D">
        <w:rPr>
          <w:rFonts w:ascii="Avenir Book" w:hAnsi="Avenir Book" w:cs="Gill Sans"/>
          <w:noProof/>
          <w:sz w:val="20"/>
          <w:szCs w:val="20"/>
          <w:lang w:val="es-ES"/>
        </w:rPr>
        <w:t>(1)</w:t>
      </w:r>
      <w:r w:rsidRPr="0087747D">
        <w:rPr>
          <w:rFonts w:ascii="Avenir Book" w:hAnsi="Avenir Book" w:cs="Gill Sans"/>
          <w:sz w:val="20"/>
          <w:szCs w:val="20"/>
          <w:lang w:val="es-ES"/>
        </w:rPr>
        <w:fldChar w:fldCharType="end"/>
      </w:r>
      <w:r w:rsidRPr="0087747D">
        <w:rPr>
          <w:rFonts w:ascii="Avenir Book" w:hAnsi="Avenir Book" w:cs="Gill Sans"/>
          <w:sz w:val="20"/>
          <w:szCs w:val="20"/>
          <w:lang w:val="es-ES"/>
        </w:rPr>
        <w:t>.</w:t>
      </w:r>
      <w:r w:rsidR="002A3636">
        <w:rPr>
          <w:rFonts w:ascii="Avenir Book" w:hAnsi="Avenir Book" w:cs="Gill Sans"/>
          <w:sz w:val="20"/>
          <w:szCs w:val="20"/>
          <w:lang w:val="es-ES"/>
        </w:rPr>
        <w:t xml:space="preserve"> El resultado se conoce como "efecto TDP" y refleja el grado de </w:t>
      </w:r>
      <w:r w:rsidR="00B902ED">
        <w:rPr>
          <w:rFonts w:ascii="Avenir Book" w:hAnsi="Avenir Book" w:cs="Gill Sans"/>
          <w:sz w:val="20"/>
          <w:szCs w:val="20"/>
          <w:lang w:val="es-ES"/>
        </w:rPr>
        <w:t>in</w:t>
      </w:r>
      <w:r w:rsidR="002A3636">
        <w:rPr>
          <w:rFonts w:ascii="Avenir Book" w:hAnsi="Avenir Book" w:cs="Gill Sans"/>
          <w:sz w:val="20"/>
          <w:szCs w:val="20"/>
          <w:lang w:val="es-ES"/>
        </w:rPr>
        <w:t>saturació</w:t>
      </w:r>
      <w:r w:rsidR="00B902ED">
        <w:rPr>
          <w:rFonts w:ascii="Avenir Book" w:hAnsi="Avenir Book" w:cs="Gill Sans"/>
          <w:sz w:val="20"/>
          <w:szCs w:val="20"/>
          <w:lang w:val="es-ES"/>
        </w:rPr>
        <w:t>n de la en</w:t>
      </w:r>
      <w:r w:rsidR="002A3636">
        <w:rPr>
          <w:rFonts w:ascii="Avenir Book" w:hAnsi="Avenir Book" w:cs="Gill Sans"/>
          <w:sz w:val="20"/>
          <w:szCs w:val="20"/>
          <w:lang w:val="es-ES"/>
        </w:rPr>
        <w:t>zima con el TDP.</w:t>
      </w:r>
      <w:r>
        <w:rPr>
          <w:rFonts w:ascii="Avenir Book" w:hAnsi="Avenir Book" w:cs="Gill Sans"/>
          <w:sz w:val="20"/>
          <w:szCs w:val="20"/>
          <w:lang w:val="es-ES"/>
        </w:rPr>
        <w:t xml:space="preserve"> Este test permite ev</w:t>
      </w:r>
      <w:r w:rsidR="00EE7C5F">
        <w:rPr>
          <w:rFonts w:ascii="Avenir Book" w:hAnsi="Avenir Book" w:cs="Gill Sans"/>
          <w:sz w:val="20"/>
          <w:szCs w:val="20"/>
          <w:lang w:val="es-ES"/>
        </w:rPr>
        <w:t xml:space="preserve">aluar el estatus de vitamina B1 aunque se recomienda combinarlo con la determinación de la excreción de timaina en orina. </w:t>
      </w:r>
      <w:r w:rsidR="002A3636">
        <w:rPr>
          <w:rFonts w:ascii="Avenir Book" w:hAnsi="Avenir Book" w:cs="Gill Sans"/>
          <w:sz w:val="20"/>
          <w:szCs w:val="20"/>
          <w:lang w:val="es-ES"/>
        </w:rPr>
        <w:t xml:space="preserve"> </w:t>
      </w:r>
    </w:p>
    <w:p w14:paraId="678508B5" w14:textId="77777777" w:rsidR="006D2A0B" w:rsidRDefault="00EE7C5F" w:rsidP="0087747D">
      <w:pPr>
        <w:spacing w:line="276" w:lineRule="auto"/>
        <w:ind w:left="360"/>
        <w:rPr>
          <w:rFonts w:ascii="Avenir Book" w:eastAsia="Times New Roman" w:hAnsi="Avenir Book" w:cs="Times New Roman"/>
          <w:sz w:val="20"/>
          <w:szCs w:val="20"/>
        </w:rPr>
      </w:pPr>
      <w:r>
        <w:rPr>
          <w:rFonts w:ascii="Avenir Book" w:hAnsi="Avenir Book" w:cs="Gill Sans"/>
          <w:sz w:val="20"/>
          <w:szCs w:val="20"/>
          <w:lang w:val="es-ES"/>
        </w:rPr>
        <w:t xml:space="preserve">Valor de referencia: </w:t>
      </w:r>
      <w:r w:rsidR="006D2A0B">
        <w:rPr>
          <w:rFonts w:ascii="Avenir Book" w:hAnsi="Avenir Book" w:cs="Gill Sans"/>
          <w:sz w:val="20"/>
          <w:szCs w:val="20"/>
          <w:lang w:val="es-ES"/>
        </w:rPr>
        <w:t xml:space="preserve"> </w:t>
      </w:r>
      <w:r w:rsidR="002A3636" w:rsidRPr="002A3636">
        <w:rPr>
          <w:rFonts w:ascii="Avenir Book" w:eastAsia="Times New Roman" w:hAnsi="Avenir Book" w:cs="Times New Roman"/>
          <w:sz w:val="20"/>
          <w:szCs w:val="20"/>
        </w:rPr>
        <w:t>0%</w:t>
      </w:r>
      <w:r w:rsidR="003C1083">
        <w:rPr>
          <w:rFonts w:ascii="Avenir Book" w:eastAsia="Times New Roman" w:hAnsi="Avenir Book" w:cs="Times New Roman"/>
          <w:sz w:val="20"/>
          <w:szCs w:val="20"/>
        </w:rPr>
        <w:t xml:space="preserve"> </w:t>
      </w:r>
      <w:r w:rsidR="002A3636" w:rsidRPr="002A3636">
        <w:rPr>
          <w:rFonts w:ascii="Avenir Book" w:eastAsia="Times New Roman" w:hAnsi="Avenir Book" w:cs="Times New Roman"/>
          <w:sz w:val="20"/>
          <w:szCs w:val="20"/>
        </w:rPr>
        <w:t>-</w:t>
      </w:r>
      <w:r w:rsidR="003C1083">
        <w:rPr>
          <w:rFonts w:ascii="Avenir Book" w:eastAsia="Times New Roman" w:hAnsi="Avenir Book" w:cs="Times New Roman"/>
          <w:sz w:val="20"/>
          <w:szCs w:val="20"/>
        </w:rPr>
        <w:t xml:space="preserve"> </w:t>
      </w:r>
      <w:r w:rsidR="002A3636" w:rsidRPr="002A3636">
        <w:rPr>
          <w:rFonts w:ascii="Avenir Book" w:eastAsia="Times New Roman" w:hAnsi="Avenir Book" w:cs="Times New Roman"/>
          <w:sz w:val="20"/>
          <w:szCs w:val="20"/>
        </w:rPr>
        <w:t>15%</w:t>
      </w:r>
      <w:r w:rsidRPr="00EE7C5F">
        <w:rPr>
          <w:rFonts w:ascii="Avenir Book" w:eastAsia="Times New Roman" w:hAnsi="Avenir Book" w:cs="Times New Roman"/>
          <w:sz w:val="20"/>
          <w:szCs w:val="20"/>
        </w:rPr>
        <w:t xml:space="preserve"> </w:t>
      </w:r>
      <w:r w:rsidR="00062EAF">
        <w:rPr>
          <w:rFonts w:ascii="Avenir Book" w:eastAsia="Times New Roman" w:hAnsi="Avenir Book" w:cs="Times New Roman"/>
          <w:sz w:val="20"/>
          <w:szCs w:val="20"/>
        </w:rPr>
        <w:t xml:space="preserve">de insaturación </w:t>
      </w:r>
      <w:r w:rsidRPr="00EE7C5F">
        <w:rPr>
          <w:rFonts w:ascii="Avenir Book" w:eastAsia="Times New Roman" w:hAnsi="Avenir Book" w:cs="Times New Roman"/>
          <w:sz w:val="20"/>
          <w:szCs w:val="20"/>
        </w:rPr>
        <w:sym w:font="Wingdings" w:char="F0E0"/>
      </w:r>
      <w:r w:rsidRPr="00EE7C5F">
        <w:rPr>
          <w:rFonts w:ascii="Avenir Book" w:eastAsia="Times New Roman" w:hAnsi="Avenir Book" w:cs="Times New Roman"/>
          <w:sz w:val="20"/>
          <w:szCs w:val="20"/>
        </w:rPr>
        <w:t xml:space="preserve"> nivel adecuado de tiamin</w:t>
      </w:r>
    </w:p>
    <w:p w14:paraId="1250E8A2" w14:textId="2DCCA8A9" w:rsidR="002A3636" w:rsidRDefault="006D2A0B" w:rsidP="0087747D">
      <w:pPr>
        <w:spacing w:line="276" w:lineRule="auto"/>
        <w:ind w:left="360"/>
        <w:rPr>
          <w:rFonts w:ascii="Avenir Book" w:eastAsia="Times New Roman" w:hAnsi="Avenir Book" w:cs="Times New Roman"/>
          <w:sz w:val="20"/>
          <w:szCs w:val="20"/>
        </w:rPr>
      </w:pPr>
      <w:r>
        <w:rPr>
          <w:rFonts w:ascii="Avenir Book" w:eastAsia="Times New Roman" w:hAnsi="Avenir Book" w:cs="Times New Roman"/>
          <w:sz w:val="20"/>
          <w:szCs w:val="20"/>
        </w:rPr>
        <w:tab/>
      </w:r>
      <w:r>
        <w:rPr>
          <w:rFonts w:ascii="Avenir Book" w:eastAsia="Times New Roman" w:hAnsi="Avenir Book" w:cs="Times New Roman"/>
          <w:sz w:val="20"/>
          <w:szCs w:val="20"/>
        </w:rPr>
        <w:tab/>
      </w:r>
      <w:r>
        <w:rPr>
          <w:rFonts w:ascii="Avenir Book" w:eastAsia="Times New Roman" w:hAnsi="Avenir Book" w:cs="Times New Roman"/>
          <w:sz w:val="20"/>
          <w:szCs w:val="20"/>
        </w:rPr>
        <w:tab/>
        <w:t xml:space="preserve"> </w:t>
      </w:r>
      <w:r w:rsidR="002A3636">
        <w:rPr>
          <w:rFonts w:ascii="Avenir Book" w:eastAsia="Times New Roman" w:hAnsi="Avenir Book" w:cs="Times New Roman"/>
          <w:sz w:val="20"/>
          <w:szCs w:val="20"/>
        </w:rPr>
        <w:t>15%</w:t>
      </w:r>
      <w:r w:rsidR="003C1083">
        <w:rPr>
          <w:rFonts w:ascii="Avenir Book" w:eastAsia="Times New Roman" w:hAnsi="Avenir Book" w:cs="Times New Roman"/>
          <w:sz w:val="20"/>
          <w:szCs w:val="20"/>
        </w:rPr>
        <w:t xml:space="preserve"> </w:t>
      </w:r>
      <w:r w:rsidR="002A3636">
        <w:rPr>
          <w:rFonts w:ascii="Avenir Book" w:eastAsia="Times New Roman" w:hAnsi="Avenir Book" w:cs="Times New Roman"/>
          <w:sz w:val="20"/>
          <w:szCs w:val="20"/>
        </w:rPr>
        <w:t>-</w:t>
      </w:r>
      <w:r w:rsidR="003C1083">
        <w:rPr>
          <w:rFonts w:ascii="Avenir Book" w:eastAsia="Times New Roman" w:hAnsi="Avenir Book" w:cs="Times New Roman"/>
          <w:sz w:val="20"/>
          <w:szCs w:val="20"/>
        </w:rPr>
        <w:t xml:space="preserve"> </w:t>
      </w:r>
      <w:r w:rsidR="002A3636">
        <w:rPr>
          <w:rFonts w:ascii="Avenir Book" w:eastAsia="Times New Roman" w:hAnsi="Avenir Book" w:cs="Times New Roman"/>
          <w:sz w:val="20"/>
          <w:szCs w:val="20"/>
        </w:rPr>
        <w:t>25%</w:t>
      </w:r>
      <w:r w:rsidR="00062EAF">
        <w:rPr>
          <w:rFonts w:ascii="Avenir Book" w:eastAsia="Times New Roman" w:hAnsi="Avenir Book" w:cs="Times New Roman"/>
          <w:sz w:val="20"/>
          <w:szCs w:val="20"/>
        </w:rPr>
        <w:t xml:space="preserve"> de insaturación</w:t>
      </w:r>
      <w:r w:rsidR="002A3636">
        <w:rPr>
          <w:rFonts w:ascii="Avenir Book" w:eastAsia="Times New Roman" w:hAnsi="Avenir Book" w:cs="Times New Roman"/>
          <w:sz w:val="20"/>
          <w:szCs w:val="20"/>
        </w:rPr>
        <w:t xml:space="preserve"> </w:t>
      </w:r>
      <w:r w:rsidR="002A3636" w:rsidRPr="002A3636">
        <w:rPr>
          <w:rFonts w:ascii="Avenir Book" w:eastAsia="Times New Roman" w:hAnsi="Avenir Book" w:cs="Times New Roman"/>
          <w:sz w:val="20"/>
          <w:szCs w:val="20"/>
        </w:rPr>
        <w:sym w:font="Wingdings" w:char="F0E0"/>
      </w:r>
      <w:r w:rsidR="002A3636">
        <w:rPr>
          <w:rFonts w:ascii="Avenir Book" w:eastAsia="Times New Roman" w:hAnsi="Avenir Book" w:cs="Times New Roman"/>
          <w:sz w:val="20"/>
          <w:szCs w:val="20"/>
        </w:rPr>
        <w:t xml:space="preserve"> deficiencia marginal</w:t>
      </w:r>
    </w:p>
    <w:p w14:paraId="38E8FB9B" w14:textId="07E8ABAD" w:rsidR="00255F88" w:rsidRDefault="006D2A0B" w:rsidP="0087747D">
      <w:pPr>
        <w:spacing w:line="276" w:lineRule="auto"/>
        <w:ind w:left="360"/>
        <w:rPr>
          <w:rFonts w:ascii="Avenir Book" w:eastAsia="Times New Roman" w:hAnsi="Avenir Book" w:cs="Times New Roman"/>
          <w:sz w:val="20"/>
          <w:szCs w:val="20"/>
        </w:rPr>
      </w:pPr>
      <w:r>
        <w:rPr>
          <w:rFonts w:ascii="Avenir Book" w:eastAsia="Times New Roman" w:hAnsi="Avenir Book" w:cs="Times New Roman"/>
          <w:sz w:val="20"/>
          <w:szCs w:val="20"/>
        </w:rPr>
        <w:tab/>
        <w:t xml:space="preserve">   </w:t>
      </w:r>
      <w:r>
        <w:rPr>
          <w:rFonts w:ascii="Avenir Book" w:eastAsia="Times New Roman" w:hAnsi="Avenir Book" w:cs="Times New Roman"/>
          <w:sz w:val="20"/>
          <w:szCs w:val="20"/>
        </w:rPr>
        <w:tab/>
      </w:r>
      <w:r>
        <w:rPr>
          <w:rFonts w:ascii="Avenir Book" w:eastAsia="Times New Roman" w:hAnsi="Avenir Book" w:cs="Times New Roman"/>
          <w:sz w:val="20"/>
          <w:szCs w:val="20"/>
        </w:rPr>
        <w:tab/>
        <w:t xml:space="preserve"> </w:t>
      </w:r>
      <w:r w:rsidR="002A3636">
        <w:rPr>
          <w:rFonts w:ascii="Avenir Book" w:eastAsia="Times New Roman" w:hAnsi="Avenir Book" w:cs="Times New Roman"/>
          <w:sz w:val="20"/>
          <w:szCs w:val="20"/>
        </w:rPr>
        <w:t>&gt;25%</w:t>
      </w:r>
      <w:r w:rsidR="00062EAF">
        <w:rPr>
          <w:rFonts w:ascii="Avenir Book" w:eastAsia="Times New Roman" w:hAnsi="Avenir Book" w:cs="Times New Roman"/>
          <w:sz w:val="20"/>
          <w:szCs w:val="20"/>
        </w:rPr>
        <w:t xml:space="preserve"> de insaturación</w:t>
      </w:r>
      <w:r w:rsidR="002A3636">
        <w:rPr>
          <w:rFonts w:ascii="Avenir Book" w:eastAsia="Times New Roman" w:hAnsi="Avenir Book" w:cs="Times New Roman"/>
          <w:sz w:val="20"/>
          <w:szCs w:val="20"/>
        </w:rPr>
        <w:t xml:space="preserve"> </w:t>
      </w:r>
      <w:r w:rsidR="002A3636" w:rsidRPr="002A3636">
        <w:rPr>
          <w:rFonts w:ascii="Avenir Book" w:eastAsia="Times New Roman" w:hAnsi="Avenir Book" w:cs="Times New Roman"/>
          <w:sz w:val="20"/>
          <w:szCs w:val="20"/>
        </w:rPr>
        <w:sym w:font="Wingdings" w:char="F0E0"/>
      </w:r>
      <w:r w:rsidR="002A3636">
        <w:rPr>
          <w:rFonts w:ascii="Avenir Book" w:eastAsia="Times New Roman" w:hAnsi="Avenir Book" w:cs="Times New Roman"/>
          <w:sz w:val="20"/>
          <w:szCs w:val="20"/>
        </w:rPr>
        <w:t xml:space="preserve"> deficiencia de vitamina B1</w:t>
      </w:r>
    </w:p>
    <w:p w14:paraId="1EF7C061" w14:textId="77777777" w:rsidR="006339D7" w:rsidRDefault="006339D7" w:rsidP="0087747D">
      <w:pPr>
        <w:spacing w:line="276" w:lineRule="auto"/>
        <w:ind w:left="360"/>
        <w:rPr>
          <w:rFonts w:ascii="Avenir Book" w:eastAsia="Times New Roman" w:hAnsi="Avenir Book" w:cs="Times New Roman"/>
          <w:sz w:val="20"/>
          <w:szCs w:val="20"/>
        </w:rPr>
      </w:pPr>
    </w:p>
    <w:p w14:paraId="3046E220" w14:textId="395636E3" w:rsidR="00255F88" w:rsidRDefault="00255F88" w:rsidP="00255F88">
      <w:pPr>
        <w:pStyle w:val="Prrafodelista"/>
        <w:numPr>
          <w:ilvl w:val="0"/>
          <w:numId w:val="3"/>
        </w:numPr>
        <w:spacing w:line="276" w:lineRule="auto"/>
        <w:rPr>
          <w:rFonts w:ascii="Avenir Book" w:hAnsi="Avenir Book"/>
          <w:sz w:val="20"/>
          <w:szCs w:val="20"/>
        </w:rPr>
      </w:pPr>
      <w:r>
        <w:rPr>
          <w:rFonts w:ascii="Avenir Book" w:hAnsi="Avenir Book"/>
          <w:sz w:val="20"/>
          <w:szCs w:val="20"/>
        </w:rPr>
        <w:t xml:space="preserve">Aunque también es posible la determinación de tiamina total (en su forma libre y las diferentes formas fosforliadas) en sangre, suero y eritrocitos, </w:t>
      </w:r>
      <w:r w:rsidR="006D2A0B">
        <w:rPr>
          <w:rFonts w:ascii="Avenir Book" w:hAnsi="Avenir Book"/>
          <w:sz w:val="20"/>
          <w:szCs w:val="20"/>
        </w:rPr>
        <w:t xml:space="preserve">estas determinación </w:t>
      </w:r>
      <w:r>
        <w:rPr>
          <w:rFonts w:ascii="Avenir Book" w:hAnsi="Avenir Book"/>
          <w:sz w:val="20"/>
          <w:szCs w:val="20"/>
        </w:rPr>
        <w:t xml:space="preserve">no se utiliza ya que no es un indicador fiable del estatus de vitamina B1 en el cuerpo. </w:t>
      </w:r>
    </w:p>
    <w:p w14:paraId="2A5DBA4C" w14:textId="1F6F152B" w:rsidR="00255F88" w:rsidRDefault="00255F88" w:rsidP="00255F88">
      <w:pPr>
        <w:spacing w:line="276" w:lineRule="auto"/>
        <w:ind w:left="360"/>
        <w:rPr>
          <w:rFonts w:ascii="Avenir Book" w:hAnsi="Avenir Book" w:cs="Gill Sans"/>
          <w:sz w:val="20"/>
          <w:szCs w:val="20"/>
          <w:lang w:val="es-ES"/>
        </w:rPr>
      </w:pPr>
      <w:r>
        <w:rPr>
          <w:rFonts w:ascii="Avenir Book" w:hAnsi="Avenir Book" w:cs="Gill Sans"/>
          <w:sz w:val="20"/>
          <w:szCs w:val="20"/>
          <w:lang w:val="es-ES"/>
        </w:rPr>
        <w:tab/>
      </w:r>
      <w:r w:rsidRPr="00665C9D">
        <w:rPr>
          <w:rFonts w:ascii="Avenir Book" w:hAnsi="Avenir Book" w:cs="Gill Sans"/>
          <w:sz w:val="20"/>
          <w:szCs w:val="20"/>
          <w:lang w:val="es-ES"/>
        </w:rPr>
        <w:t>Valor</w:t>
      </w:r>
      <w:r>
        <w:rPr>
          <w:rFonts w:ascii="Avenir Book" w:hAnsi="Avenir Book" w:cs="Gill Sans"/>
          <w:sz w:val="20"/>
          <w:szCs w:val="20"/>
          <w:lang w:val="es-ES"/>
        </w:rPr>
        <w:t>es</w:t>
      </w:r>
      <w:r w:rsidRPr="00665C9D">
        <w:rPr>
          <w:rFonts w:ascii="Avenir Book" w:hAnsi="Avenir Book" w:cs="Gill Sans"/>
          <w:sz w:val="20"/>
          <w:szCs w:val="20"/>
          <w:lang w:val="es-ES"/>
        </w:rPr>
        <w:t xml:space="preserve"> de referencia</w:t>
      </w:r>
      <w:r>
        <w:rPr>
          <w:rFonts w:ascii="Avenir Book" w:hAnsi="Avenir Book" w:cs="Gill Sans"/>
          <w:sz w:val="20"/>
          <w:szCs w:val="20"/>
          <w:lang w:val="es-ES"/>
        </w:rPr>
        <w:t xml:space="preserve">: </w:t>
      </w:r>
    </w:p>
    <w:p w14:paraId="68C0B2D3" w14:textId="77777777" w:rsidR="00255F88" w:rsidRDefault="00255F88" w:rsidP="00255F88">
      <w:pPr>
        <w:spacing w:line="276" w:lineRule="auto"/>
        <w:ind w:left="360"/>
        <w:rPr>
          <w:rFonts w:ascii="Avenir Book" w:eastAsia="Times New Roman" w:hAnsi="Avenir Book" w:cs="Times New Roman"/>
          <w:sz w:val="20"/>
          <w:szCs w:val="20"/>
        </w:rPr>
      </w:pPr>
      <w:r>
        <w:rPr>
          <w:rFonts w:ascii="Avenir Book" w:hAnsi="Avenir Book" w:cs="Gill Sans"/>
          <w:sz w:val="20"/>
          <w:szCs w:val="20"/>
          <w:lang w:val="es-ES"/>
        </w:rPr>
        <w:tab/>
      </w:r>
      <w:r w:rsidRPr="009D094C">
        <w:rPr>
          <w:rFonts w:ascii="Avenir Book" w:hAnsi="Avenir Book" w:cs="Gill Sans"/>
          <w:sz w:val="20"/>
          <w:szCs w:val="20"/>
          <w:lang w:val="es-ES"/>
        </w:rPr>
        <w:t>70–190 nmol/L</w:t>
      </w:r>
      <w:r>
        <w:rPr>
          <w:rFonts w:ascii="Avenir Book" w:hAnsi="Avenir Book" w:cs="Gill Sans"/>
          <w:sz w:val="20"/>
          <w:szCs w:val="20"/>
          <w:lang w:val="es-ES"/>
        </w:rPr>
        <w:t xml:space="preserve"> tiamina total en sangre </w:t>
      </w:r>
      <w:r w:rsidRPr="00EE7C5F">
        <w:sym w:font="Wingdings" w:char="F0E0"/>
      </w:r>
      <w:r w:rsidRPr="00665C9D">
        <w:rPr>
          <w:rFonts w:ascii="Avenir Book" w:eastAsia="Times New Roman" w:hAnsi="Avenir Book" w:cs="Times New Roman"/>
          <w:sz w:val="20"/>
          <w:szCs w:val="20"/>
        </w:rPr>
        <w:t xml:space="preserve"> nivel adecuado </w:t>
      </w:r>
    </w:p>
    <w:p w14:paraId="439931DA" w14:textId="77777777" w:rsidR="00255F88" w:rsidRDefault="00255F88" w:rsidP="00255F88">
      <w:pPr>
        <w:spacing w:line="276" w:lineRule="auto"/>
        <w:ind w:left="360"/>
        <w:rPr>
          <w:rFonts w:ascii="Avenir Book" w:eastAsia="Times New Roman" w:hAnsi="Avenir Book" w:cs="Times New Roman"/>
          <w:sz w:val="20"/>
          <w:szCs w:val="20"/>
        </w:rPr>
      </w:pPr>
      <w:r>
        <w:rPr>
          <w:rFonts w:ascii="Avenir Book" w:eastAsia="Times New Roman" w:hAnsi="Avenir Book" w:cs="Times New Roman"/>
          <w:sz w:val="20"/>
          <w:szCs w:val="20"/>
        </w:rPr>
        <w:tab/>
      </w:r>
      <w:r>
        <w:rPr>
          <w:rFonts w:ascii="Avenir Book" w:hAnsi="Avenir Book" w:cs="Gill Sans"/>
          <w:sz w:val="20"/>
          <w:szCs w:val="20"/>
          <w:lang w:val="es-ES"/>
        </w:rPr>
        <w:t>10–2</w:t>
      </w:r>
      <w:r w:rsidRPr="009D094C">
        <w:rPr>
          <w:rFonts w:ascii="Avenir Book" w:hAnsi="Avenir Book" w:cs="Gill Sans"/>
          <w:sz w:val="20"/>
          <w:szCs w:val="20"/>
          <w:lang w:val="es-ES"/>
        </w:rPr>
        <w:t>0 nmol/L</w:t>
      </w:r>
      <w:r>
        <w:rPr>
          <w:rFonts w:ascii="Avenir Book" w:hAnsi="Avenir Book" w:cs="Gill Sans"/>
          <w:sz w:val="20"/>
          <w:szCs w:val="20"/>
          <w:lang w:val="es-ES"/>
        </w:rPr>
        <w:t xml:space="preserve"> tiamina total en suero </w:t>
      </w:r>
      <w:r w:rsidRPr="00EE7C5F">
        <w:sym w:font="Wingdings" w:char="F0E0"/>
      </w:r>
      <w:r w:rsidRPr="00665C9D">
        <w:rPr>
          <w:rFonts w:ascii="Avenir Book" w:eastAsia="Times New Roman" w:hAnsi="Avenir Book" w:cs="Times New Roman"/>
          <w:sz w:val="20"/>
          <w:szCs w:val="20"/>
        </w:rPr>
        <w:t xml:space="preserve"> nivel adecuado </w:t>
      </w:r>
      <w:r>
        <w:rPr>
          <w:rFonts w:ascii="Avenir Book" w:eastAsia="Times New Roman" w:hAnsi="Avenir Book" w:cs="Times New Roman"/>
          <w:sz w:val="20"/>
          <w:szCs w:val="20"/>
        </w:rPr>
        <w:t xml:space="preserve"> </w:t>
      </w:r>
    </w:p>
    <w:p w14:paraId="6460228F" w14:textId="77777777" w:rsidR="00E6306B" w:rsidRDefault="00E6306B" w:rsidP="00C23174">
      <w:pPr>
        <w:spacing w:line="276" w:lineRule="auto"/>
        <w:ind w:left="360"/>
        <w:rPr>
          <w:sz w:val="20"/>
          <w:szCs w:val="20"/>
        </w:rPr>
      </w:pPr>
    </w:p>
    <w:p w14:paraId="219BF992" w14:textId="77777777" w:rsidR="006339D7" w:rsidRDefault="006339D7" w:rsidP="00C23174">
      <w:pPr>
        <w:spacing w:line="276" w:lineRule="auto"/>
        <w:ind w:left="360"/>
        <w:rPr>
          <w:sz w:val="20"/>
          <w:szCs w:val="20"/>
        </w:rPr>
      </w:pPr>
    </w:p>
    <w:p w14:paraId="77C20F95" w14:textId="77777777" w:rsidR="006339D7" w:rsidRDefault="006339D7" w:rsidP="00C23174">
      <w:pPr>
        <w:spacing w:line="276" w:lineRule="auto"/>
        <w:ind w:left="360"/>
        <w:rPr>
          <w:sz w:val="20"/>
          <w:szCs w:val="20"/>
        </w:rPr>
      </w:pPr>
    </w:p>
    <w:p w14:paraId="6ADCB426" w14:textId="77777777" w:rsidR="006339D7" w:rsidRDefault="006339D7" w:rsidP="00C23174">
      <w:pPr>
        <w:spacing w:line="276" w:lineRule="auto"/>
        <w:ind w:left="360"/>
        <w:rPr>
          <w:sz w:val="20"/>
          <w:szCs w:val="20"/>
        </w:rPr>
      </w:pPr>
    </w:p>
    <w:p w14:paraId="2FF7FABC" w14:textId="77777777" w:rsidR="006339D7" w:rsidRDefault="006339D7" w:rsidP="00C23174">
      <w:pPr>
        <w:spacing w:line="276" w:lineRule="auto"/>
        <w:ind w:left="360"/>
        <w:rPr>
          <w:sz w:val="20"/>
          <w:szCs w:val="20"/>
        </w:rPr>
      </w:pPr>
    </w:p>
    <w:p w14:paraId="575ACB8C" w14:textId="77777777" w:rsidR="006339D7" w:rsidRDefault="006339D7" w:rsidP="00C23174">
      <w:pPr>
        <w:spacing w:line="276" w:lineRule="auto"/>
        <w:ind w:left="360"/>
        <w:rPr>
          <w:sz w:val="20"/>
          <w:szCs w:val="20"/>
        </w:rPr>
      </w:pPr>
    </w:p>
    <w:p w14:paraId="513F9E1D" w14:textId="77777777" w:rsidR="006339D7" w:rsidRDefault="006339D7" w:rsidP="00C23174">
      <w:pPr>
        <w:spacing w:line="276" w:lineRule="auto"/>
        <w:ind w:left="360"/>
        <w:rPr>
          <w:sz w:val="20"/>
          <w:szCs w:val="20"/>
        </w:rPr>
      </w:pPr>
    </w:p>
    <w:p w14:paraId="10A199BA" w14:textId="77777777" w:rsidR="006339D7" w:rsidRDefault="006339D7" w:rsidP="00C23174">
      <w:pPr>
        <w:spacing w:line="276" w:lineRule="auto"/>
        <w:ind w:left="360"/>
        <w:rPr>
          <w:sz w:val="20"/>
          <w:szCs w:val="20"/>
        </w:rPr>
      </w:pPr>
    </w:p>
    <w:p w14:paraId="22932A39" w14:textId="77777777" w:rsidR="006339D7" w:rsidRDefault="006339D7" w:rsidP="00C23174">
      <w:pPr>
        <w:spacing w:line="276" w:lineRule="auto"/>
        <w:ind w:left="360"/>
        <w:rPr>
          <w:sz w:val="20"/>
          <w:szCs w:val="20"/>
        </w:rPr>
      </w:pPr>
    </w:p>
    <w:p w14:paraId="02C78249" w14:textId="77777777" w:rsidR="006339D7" w:rsidRDefault="006339D7" w:rsidP="00C23174">
      <w:pPr>
        <w:spacing w:line="276" w:lineRule="auto"/>
        <w:ind w:left="360"/>
        <w:rPr>
          <w:sz w:val="20"/>
          <w:szCs w:val="20"/>
        </w:rPr>
      </w:pPr>
    </w:p>
    <w:p w14:paraId="3ADDD920" w14:textId="77777777" w:rsidR="006339D7" w:rsidRDefault="006339D7" w:rsidP="00C23174">
      <w:pPr>
        <w:spacing w:line="276" w:lineRule="auto"/>
        <w:ind w:left="360"/>
        <w:rPr>
          <w:sz w:val="20"/>
          <w:szCs w:val="20"/>
        </w:rPr>
      </w:pPr>
    </w:p>
    <w:p w14:paraId="6BDF79B7" w14:textId="77777777" w:rsidR="006339D7" w:rsidRDefault="006339D7" w:rsidP="00C23174">
      <w:pPr>
        <w:spacing w:line="276" w:lineRule="auto"/>
        <w:ind w:left="360"/>
        <w:rPr>
          <w:sz w:val="20"/>
          <w:szCs w:val="20"/>
        </w:rPr>
      </w:pPr>
    </w:p>
    <w:p w14:paraId="774D5132" w14:textId="77777777" w:rsidR="006339D7" w:rsidRDefault="006339D7" w:rsidP="00C23174">
      <w:pPr>
        <w:spacing w:line="276" w:lineRule="auto"/>
        <w:ind w:left="360"/>
        <w:rPr>
          <w:sz w:val="20"/>
          <w:szCs w:val="20"/>
        </w:rPr>
      </w:pPr>
    </w:p>
    <w:p w14:paraId="2AC55247" w14:textId="77777777" w:rsidR="006339D7" w:rsidRDefault="006339D7" w:rsidP="00C23174">
      <w:pPr>
        <w:spacing w:line="276" w:lineRule="auto"/>
        <w:ind w:left="360"/>
        <w:rPr>
          <w:sz w:val="20"/>
          <w:szCs w:val="20"/>
        </w:rPr>
      </w:pPr>
    </w:p>
    <w:p w14:paraId="066D479E" w14:textId="47249D8D" w:rsidR="000E040C" w:rsidRPr="002873E9" w:rsidRDefault="00FD01C0" w:rsidP="002873E9">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lastRenderedPageBreak/>
        <w:t>3. Requerimientos y límite de tolerancia</w:t>
      </w:r>
    </w:p>
    <w:tbl>
      <w:tblPr>
        <w:tblStyle w:val="Tablaconcuadrcula"/>
        <w:tblpPr w:leftFromText="141" w:rightFromText="141" w:vertAnchor="text" w:horzAnchor="page" w:tblpX="2530" w:tblpY="408"/>
        <w:tblW w:w="0" w:type="auto"/>
        <w:tblLook w:val="04A0" w:firstRow="1" w:lastRow="0" w:firstColumn="1" w:lastColumn="0" w:noHBand="0" w:noVBand="1"/>
      </w:tblPr>
      <w:tblGrid>
        <w:gridCol w:w="1235"/>
        <w:gridCol w:w="494"/>
        <w:gridCol w:w="1202"/>
        <w:gridCol w:w="494"/>
        <w:gridCol w:w="1202"/>
        <w:gridCol w:w="494"/>
      </w:tblGrid>
      <w:tr w:rsidR="004F71EE" w:rsidRPr="003067E0" w14:paraId="3827DBC5" w14:textId="77777777" w:rsidTr="00AF0BD8">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D637BB8" w14:textId="628E6026" w:rsidR="004F71EE" w:rsidRPr="003067E0" w:rsidRDefault="004F71EE" w:rsidP="003067E0">
            <w:pPr>
              <w:spacing w:line="276" w:lineRule="auto"/>
              <w:rPr>
                <w:rFonts w:ascii="Avenir Book" w:hAnsi="Avenir Book" w:cs="Arial"/>
                <w:sz w:val="20"/>
                <w:szCs w:val="20"/>
              </w:rPr>
            </w:pPr>
            <w:r w:rsidRPr="003067E0">
              <w:rPr>
                <w:rFonts w:ascii="Avenir Book" w:hAnsi="Avenir Book" w:cs="Arial"/>
                <w:sz w:val="20"/>
                <w:szCs w:val="20"/>
              </w:rPr>
              <w:t>Infancia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04329F" w14:textId="688C6D81" w:rsidR="004F71EE" w:rsidRPr="003067E0" w:rsidRDefault="004F71EE" w:rsidP="003067E0">
            <w:pPr>
              <w:spacing w:line="276" w:lineRule="auto"/>
              <w:rPr>
                <w:rFonts w:ascii="Avenir Book" w:hAnsi="Avenir Book" w:cs="Arial"/>
                <w:sz w:val="20"/>
                <w:szCs w:val="20"/>
              </w:rPr>
            </w:pPr>
            <w:r w:rsidRPr="003067E0">
              <w:rPr>
                <w:rFonts w:ascii="Avenir Book" w:hAnsi="Avenir Book" w:cs="Arial"/>
                <w:sz w:val="20"/>
                <w:szCs w:val="20"/>
              </w:rPr>
              <w:t>Varones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2D03255" w14:textId="59EC9762" w:rsidR="004F71EE" w:rsidRPr="003067E0" w:rsidRDefault="004F71EE" w:rsidP="003067E0">
            <w:pPr>
              <w:spacing w:line="276" w:lineRule="auto"/>
              <w:rPr>
                <w:rFonts w:ascii="Avenir Book" w:hAnsi="Avenir Book" w:cs="Arial"/>
                <w:sz w:val="20"/>
                <w:szCs w:val="20"/>
              </w:rPr>
            </w:pPr>
            <w:r w:rsidRPr="003067E0">
              <w:rPr>
                <w:rFonts w:ascii="Avenir Book" w:hAnsi="Avenir Book" w:cs="Arial"/>
                <w:sz w:val="20"/>
                <w:szCs w:val="20"/>
              </w:rPr>
              <w:t>Mujeres (mg)</w:t>
            </w:r>
          </w:p>
        </w:tc>
      </w:tr>
      <w:tr w:rsidR="00CB463D" w:rsidRPr="003067E0" w14:paraId="7408637A" w14:textId="77777777" w:rsidTr="00002780">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C26D5D4"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0-6 meses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8E607E0"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0,2</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BC8D88C"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32820DF"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3581AC5B"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4ABDF262"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0,9</w:t>
            </w:r>
          </w:p>
        </w:tc>
      </w:tr>
      <w:tr w:rsidR="00CB463D" w:rsidRPr="003067E0" w14:paraId="18B8D623" w14:textId="77777777" w:rsidTr="00002780">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0DD4346"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7-12 meses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36A82F6"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0,3</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82EE97D"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6AC048B5"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1,2</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6DB241F6"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6A995E05"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r>
      <w:tr w:rsidR="00CB463D" w:rsidRPr="003067E0" w14:paraId="16A122DD" w14:textId="77777777" w:rsidTr="00002780">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5FBBAE9"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1-3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53E26FB"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0,5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5C6A36B6"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1C1C18D"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1,2</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312B2B78"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602F6E23"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r>
      <w:tr w:rsidR="00CB463D" w:rsidRPr="003067E0" w14:paraId="633C3F37" w14:textId="77777777" w:rsidTr="00002780">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EC32C36"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4-5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6083E8BC"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0,7</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F845B53"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53B04FA0"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1,2</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DEB8A1D"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401E3DF9"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r>
      <w:tr w:rsidR="00CB463D" w:rsidRPr="003067E0" w14:paraId="592E6F3F" w14:textId="77777777" w:rsidTr="00002780">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951FEF1"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9AE34D8"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0,8</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2B2E45BF"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9366CDB"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1,2</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7FAD771"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5D27C145"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r>
      <w:tr w:rsidR="00CB463D" w:rsidRPr="003067E0" w14:paraId="0B06C039" w14:textId="77777777" w:rsidTr="00002780">
        <w:tc>
          <w:tcPr>
            <w:tcW w:w="0" w:type="auto"/>
            <w:tcBorders>
              <w:top w:val="single" w:sz="4" w:space="0" w:color="FFFFFF" w:themeColor="background1"/>
              <w:left w:val="single" w:sz="18" w:space="0" w:color="BFBFBF" w:themeColor="background1" w:themeShade="BF"/>
              <w:bottom w:val="single" w:sz="4" w:space="0" w:color="BFBFBF" w:themeColor="background1" w:themeShade="BF"/>
              <w:right w:val="single" w:sz="18" w:space="0" w:color="FFFFFF" w:themeColor="background1"/>
            </w:tcBorders>
          </w:tcPr>
          <w:p w14:paraId="656EB567" w14:textId="77777777" w:rsidR="00CB463D" w:rsidRPr="003067E0" w:rsidRDefault="00CB463D" w:rsidP="003067E0">
            <w:pPr>
              <w:spacing w:line="276" w:lineRule="auto"/>
              <w:rPr>
                <w:rFonts w:ascii="Avenir Book" w:hAnsi="Avenir Book" w:cs="Arial"/>
                <w:sz w:val="20"/>
                <w:szCs w:val="20"/>
              </w:rPr>
            </w:pPr>
          </w:p>
        </w:tc>
        <w:tc>
          <w:tcPr>
            <w:tcW w:w="0" w:type="auto"/>
            <w:tcBorders>
              <w:top w:val="single" w:sz="4" w:space="0" w:color="FFFFFF" w:themeColor="background1"/>
              <w:left w:val="single" w:sz="18" w:space="0" w:color="FFFFFF" w:themeColor="background1"/>
              <w:bottom w:val="single" w:sz="4" w:space="0" w:color="BFBFBF" w:themeColor="background1" w:themeShade="BF"/>
              <w:right w:val="single" w:sz="18" w:space="0" w:color="BFBFBF" w:themeColor="background1" w:themeShade="BF"/>
            </w:tcBorders>
          </w:tcPr>
          <w:p w14:paraId="63321160" w14:textId="77777777" w:rsidR="00CB463D" w:rsidRPr="003067E0" w:rsidRDefault="00CB463D" w:rsidP="003067E0">
            <w:pPr>
              <w:spacing w:line="276" w:lineRule="auto"/>
              <w:rPr>
                <w:rFonts w:ascii="Avenir Book" w:hAnsi="Avenir Book" w:cs="Arial"/>
                <w:sz w:val="20"/>
                <w:szCs w:val="20"/>
              </w:rPr>
            </w:pP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2D16B5E"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710A050"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1,2</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3E2C227"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4D3F28A2"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r>
      <w:tr w:rsidR="00CB463D" w:rsidRPr="003067E0" w14:paraId="18E31CEE" w14:textId="77777777" w:rsidTr="00002780">
        <w:tc>
          <w:tcPr>
            <w:tcW w:w="0" w:type="auto"/>
            <w:tcBorders>
              <w:top w:val="single" w:sz="4" w:space="0" w:color="BFBFBF" w:themeColor="background1" w:themeShade="BF"/>
              <w:left w:val="single" w:sz="18" w:space="0" w:color="BFBFBF" w:themeColor="background1" w:themeShade="BF"/>
              <w:bottom w:val="single" w:sz="4" w:space="0" w:color="FFFFFF" w:themeColor="background1"/>
              <w:right w:val="single" w:sz="18" w:space="0" w:color="FFFFFF" w:themeColor="background1"/>
            </w:tcBorders>
          </w:tcPr>
          <w:p w14:paraId="1D08F75E"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Embarazo</w:t>
            </w:r>
          </w:p>
        </w:tc>
        <w:tc>
          <w:tcPr>
            <w:tcW w:w="0" w:type="auto"/>
            <w:tcBorders>
              <w:top w:val="single" w:sz="4" w:space="0" w:color="BFBFBF" w:themeColor="background1" w:themeShade="BF"/>
              <w:left w:val="single" w:sz="18" w:space="0" w:color="FFFFFF" w:themeColor="background1"/>
              <w:bottom w:val="single" w:sz="4" w:space="0" w:color="FFFFFF" w:themeColor="background1"/>
              <w:right w:val="single" w:sz="18" w:space="0" w:color="BFBFBF" w:themeColor="background1" w:themeShade="BF"/>
            </w:tcBorders>
          </w:tcPr>
          <w:p w14:paraId="7C068E83"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1,2</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22962EBA"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68B6837"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1,1</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5D29ED3B"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2C7ED5F7"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r>
      <w:tr w:rsidR="00CB463D" w:rsidRPr="003067E0" w14:paraId="65F1E6B0" w14:textId="77777777" w:rsidTr="00002780">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5BD992C7"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Lactancia</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44E0BE99"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1,4</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7CFCD968"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0B2D6538"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1,1</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4" w:space="0" w:color="FFFFFF" w:themeColor="background1"/>
            </w:tcBorders>
          </w:tcPr>
          <w:p w14:paraId="6790C153"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4" w:space="0" w:color="FFFFFF" w:themeColor="background1"/>
              <w:bottom w:val="single" w:sz="18" w:space="0" w:color="BFBFBF" w:themeColor="background1" w:themeShade="BF"/>
              <w:right w:val="single" w:sz="18" w:space="0" w:color="BFBFBF" w:themeColor="background1" w:themeShade="BF"/>
            </w:tcBorders>
          </w:tcPr>
          <w:p w14:paraId="37557EE5"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1</w:t>
            </w:r>
          </w:p>
        </w:tc>
      </w:tr>
    </w:tbl>
    <w:p w14:paraId="0A6165EE" w14:textId="0407A023" w:rsidR="00CB463D" w:rsidRPr="003067E0" w:rsidRDefault="00B6447D" w:rsidP="003067E0">
      <w:pPr>
        <w:spacing w:line="276" w:lineRule="auto"/>
        <w:rPr>
          <w:rFonts w:ascii="Avenir Book" w:hAnsi="Avenir Book" w:cs="Arial"/>
          <w:sz w:val="20"/>
          <w:szCs w:val="20"/>
        </w:rPr>
      </w:pPr>
      <w:r>
        <w:rPr>
          <w:rFonts w:ascii="Avenir Book" w:hAnsi="Avenir Book" w:cs="Arial"/>
          <w:sz w:val="20"/>
          <w:szCs w:val="20"/>
        </w:rPr>
        <w:t xml:space="preserve">* </w:t>
      </w:r>
      <w:r w:rsidR="00140554" w:rsidRPr="00140554">
        <w:rPr>
          <w:rFonts w:ascii="Avenir Book" w:hAnsi="Avenir Book" w:cs="Arial"/>
          <w:b/>
          <w:sz w:val="20"/>
          <w:szCs w:val="20"/>
        </w:rPr>
        <w:t>IDR</w:t>
      </w:r>
      <w:r w:rsidR="00140554">
        <w:rPr>
          <w:rFonts w:ascii="Avenir Book" w:hAnsi="Avenir Book" w:cs="Arial"/>
          <w:sz w:val="20"/>
          <w:szCs w:val="20"/>
        </w:rPr>
        <w:t xml:space="preserve"> </w:t>
      </w:r>
      <w:r w:rsidR="00140554" w:rsidRPr="003067E0">
        <w:rPr>
          <w:rFonts w:ascii="Avenir Book" w:hAnsi="Avenir Book" w:cs="Arial"/>
          <w:sz w:val="20"/>
          <w:szCs w:val="20"/>
        </w:rPr>
        <w:t>para población espa</w:t>
      </w:r>
      <w:r w:rsidR="00140554">
        <w:rPr>
          <w:rFonts w:ascii="Avenir Book" w:hAnsi="Avenir Book" w:cs="Arial"/>
          <w:sz w:val="20"/>
          <w:szCs w:val="20"/>
        </w:rPr>
        <w:t>ñola s</w:t>
      </w:r>
      <w:r w:rsidR="00CB463D" w:rsidRPr="003067E0">
        <w:rPr>
          <w:rFonts w:ascii="Avenir Book" w:hAnsi="Avenir Book" w:cs="Arial"/>
          <w:sz w:val="20"/>
          <w:szCs w:val="20"/>
        </w:rPr>
        <w:t>egún FESNAD (</w:t>
      </w:r>
      <w:r w:rsidR="00140554">
        <w:rPr>
          <w:rFonts w:ascii="Avenir Book" w:hAnsi="Avenir Book" w:cs="Arial"/>
          <w:sz w:val="20"/>
          <w:szCs w:val="20"/>
        </w:rPr>
        <w:t>2010</w:t>
      </w:r>
      <w:r w:rsidR="00CB463D" w:rsidRPr="003067E0">
        <w:rPr>
          <w:rFonts w:ascii="Avenir Book" w:hAnsi="Avenir Book" w:cs="Arial"/>
          <w:sz w:val="20"/>
          <w:szCs w:val="20"/>
        </w:rPr>
        <w:t>)</w:t>
      </w:r>
      <w:r w:rsidR="008060B0">
        <w:rPr>
          <w:rFonts w:ascii="Avenir Book" w:hAnsi="Avenir Book" w:cs="Arial"/>
          <w:sz w:val="20"/>
          <w:szCs w:val="20"/>
        </w:rPr>
        <w:t xml:space="preserve"> </w:t>
      </w:r>
      <w:r w:rsidR="008060B0">
        <w:rPr>
          <w:rFonts w:ascii="Avenir Book" w:hAnsi="Avenir Book" w:cs="Arial"/>
          <w:sz w:val="20"/>
          <w:szCs w:val="20"/>
        </w:rPr>
        <w:fldChar w:fldCharType="begin" w:fldLock="1"/>
      </w:r>
      <w:r w:rsidR="000C78A2">
        <w:rPr>
          <w:rFonts w:ascii="Avenir Book" w:hAnsi="Avenir Book" w:cs="Arial"/>
          <w:sz w:val="20"/>
          <w:szCs w:val="20"/>
        </w:rPr>
        <w:instrText>ADDIN CSL_CITATION { "citationItems" : [ { "id" : "ITEM-1", "itemData" : { "author" : [ { "dropping-particle" : "", "family" : "Cuervo", "given" : "Marta", "non-dropping-particle" : "", "parse-names" : false, "suffix" : "" }, { "dropping-particle" : "", "family" : "Abete", "given" : "Itziar", "non-dropping-particle" : "", "parse-names" : false, "suffix" : "" }, { "dropping-particle" : "", "family" : "Baladia", "given" : "Eduard", "non-dropping-particle" : "", "parse-names" : false, "suffix" : "" }, { "dropping-particle" : "", "family" : "Corbal\u00e1n", "given" : "Marisol", "non-dropping-particle" : "", "parse-names" : false, "suffix" : "" }, { "dropping-particle" : "", "family" : "Manera", "given" : "Maria", "non-dropping-particle" : "", "parse-names" : false, "suffix" : "" }, { "dropping-particle" : "", "family" : "Basulto", "given" : "Julio", "non-dropping-particle" : "", "parse-names" : false, "suffix" : "" }, { "dropping-particle" : "", "family" : "Mart\u00ednez", "given" : "J. Alfredo", "non-dropping-particle" : "", "parse-names" : false, "suffix" : "" } ], "id" : "ITEM-1", "issued" : { "date-parts" : [ [ "2010" ] ] }, "title" : "Ingestas Diet\u00e9ticas de Referencia (IDR) para la poblaci\u00f3n espa\u00f1ola FESNAD-2010", "type" : "report" }, "uris" : [ "http://www.mendeley.com/documents/?uuid=55153dbc-56f2-4512-8087-b9c8b088daa6" ] } ], "mendeley" : { "formattedCitation" : "(6)", "plainTextFormattedCitation" : "(6)", "previouslyFormattedCitation" : "(6)" }, "properties" : { "noteIndex" : 0 }, "schema" : "https://github.com/citation-style-language/schema/raw/master/csl-citation.json" }</w:instrText>
      </w:r>
      <w:r w:rsidR="008060B0">
        <w:rPr>
          <w:rFonts w:ascii="Avenir Book" w:hAnsi="Avenir Book" w:cs="Arial"/>
          <w:sz w:val="20"/>
          <w:szCs w:val="20"/>
        </w:rPr>
        <w:fldChar w:fldCharType="separate"/>
      </w:r>
      <w:r w:rsidR="000C78A2" w:rsidRPr="000C78A2">
        <w:rPr>
          <w:rFonts w:ascii="Avenir Book" w:hAnsi="Avenir Book" w:cs="Arial"/>
          <w:noProof/>
          <w:sz w:val="20"/>
          <w:szCs w:val="20"/>
        </w:rPr>
        <w:t>(6)</w:t>
      </w:r>
      <w:r w:rsidR="008060B0">
        <w:rPr>
          <w:rFonts w:ascii="Avenir Book" w:hAnsi="Avenir Book" w:cs="Arial"/>
          <w:sz w:val="20"/>
          <w:szCs w:val="20"/>
        </w:rPr>
        <w:fldChar w:fldCharType="end"/>
      </w:r>
      <w:r w:rsidR="008060B0">
        <w:rPr>
          <w:rFonts w:ascii="Avenir Book" w:hAnsi="Avenir Book" w:cs="Arial"/>
          <w:sz w:val="20"/>
          <w:szCs w:val="20"/>
        </w:rPr>
        <w:t>:</w:t>
      </w:r>
    </w:p>
    <w:p w14:paraId="6BEA7713" w14:textId="77777777" w:rsidR="00CB463D" w:rsidRPr="003067E0" w:rsidRDefault="00CB463D" w:rsidP="003067E0">
      <w:pPr>
        <w:spacing w:line="276" w:lineRule="auto"/>
        <w:rPr>
          <w:rFonts w:ascii="Avenir Book" w:hAnsi="Avenir Book" w:cs="Arial"/>
          <w:sz w:val="20"/>
          <w:szCs w:val="20"/>
        </w:rPr>
      </w:pPr>
    </w:p>
    <w:p w14:paraId="1CE702E0" w14:textId="77777777" w:rsidR="00CB463D" w:rsidRPr="003067E0" w:rsidRDefault="00CB463D" w:rsidP="003067E0">
      <w:pPr>
        <w:spacing w:line="276" w:lineRule="auto"/>
        <w:rPr>
          <w:rFonts w:ascii="Avenir Book" w:hAnsi="Avenir Book" w:cs="Arial"/>
          <w:sz w:val="20"/>
          <w:szCs w:val="20"/>
        </w:rPr>
      </w:pPr>
    </w:p>
    <w:p w14:paraId="6565FF4C" w14:textId="77777777" w:rsidR="00CB463D" w:rsidRPr="003067E0" w:rsidRDefault="00CB463D" w:rsidP="003067E0">
      <w:pPr>
        <w:spacing w:line="276" w:lineRule="auto"/>
        <w:rPr>
          <w:rFonts w:ascii="Avenir Book" w:hAnsi="Avenir Book" w:cs="Arial"/>
          <w:sz w:val="20"/>
          <w:szCs w:val="20"/>
        </w:rPr>
      </w:pPr>
    </w:p>
    <w:p w14:paraId="55901F45" w14:textId="77777777" w:rsidR="00CB463D" w:rsidRPr="003067E0" w:rsidRDefault="00CB463D" w:rsidP="003067E0">
      <w:pPr>
        <w:spacing w:line="276" w:lineRule="auto"/>
        <w:rPr>
          <w:rFonts w:ascii="Avenir Book" w:hAnsi="Avenir Book" w:cs="Arial"/>
          <w:sz w:val="20"/>
          <w:szCs w:val="20"/>
        </w:rPr>
      </w:pPr>
    </w:p>
    <w:p w14:paraId="150C82AB" w14:textId="77777777" w:rsidR="00CB463D" w:rsidRPr="003067E0" w:rsidRDefault="00CB463D" w:rsidP="003067E0">
      <w:pPr>
        <w:spacing w:line="276" w:lineRule="auto"/>
        <w:rPr>
          <w:rFonts w:ascii="Avenir Book" w:hAnsi="Avenir Book" w:cs="Arial"/>
          <w:sz w:val="20"/>
          <w:szCs w:val="20"/>
        </w:rPr>
      </w:pPr>
    </w:p>
    <w:p w14:paraId="0C2BE36E" w14:textId="77777777" w:rsidR="00CB463D" w:rsidRPr="003067E0" w:rsidRDefault="00CB463D" w:rsidP="003067E0">
      <w:pPr>
        <w:spacing w:line="276" w:lineRule="auto"/>
        <w:rPr>
          <w:rFonts w:ascii="Avenir Book" w:hAnsi="Avenir Book" w:cs="Arial"/>
          <w:sz w:val="20"/>
          <w:szCs w:val="20"/>
        </w:rPr>
      </w:pPr>
      <w:r w:rsidRPr="003067E0">
        <w:rPr>
          <w:rFonts w:ascii="Avenir Book" w:hAnsi="Avenir Book" w:cs="Arial"/>
          <w:sz w:val="20"/>
          <w:szCs w:val="20"/>
        </w:rPr>
        <w:tab/>
      </w:r>
    </w:p>
    <w:p w14:paraId="1AA9F4C7" w14:textId="77777777" w:rsidR="00CB463D" w:rsidRPr="003067E0" w:rsidRDefault="00CB463D" w:rsidP="003067E0">
      <w:pPr>
        <w:spacing w:line="276" w:lineRule="auto"/>
        <w:rPr>
          <w:rFonts w:ascii="Avenir Book" w:hAnsi="Avenir Book" w:cs="Arial"/>
          <w:sz w:val="20"/>
          <w:szCs w:val="20"/>
        </w:rPr>
      </w:pPr>
    </w:p>
    <w:p w14:paraId="154C6591" w14:textId="77777777" w:rsidR="00EA589F" w:rsidRDefault="00EA589F" w:rsidP="003937D0">
      <w:pPr>
        <w:widowControl w:val="0"/>
        <w:autoSpaceDE w:val="0"/>
        <w:autoSpaceDN w:val="0"/>
        <w:adjustRightInd w:val="0"/>
        <w:spacing w:after="240" w:line="276" w:lineRule="auto"/>
        <w:rPr>
          <w:rFonts w:ascii="Avenir Book" w:hAnsi="Avenir Book" w:cs="Gill Sans"/>
          <w:sz w:val="20"/>
          <w:szCs w:val="20"/>
          <w:lang w:val="es-ES"/>
        </w:rPr>
      </w:pPr>
    </w:p>
    <w:p w14:paraId="2EE11676" w14:textId="77777777" w:rsidR="00EA589F" w:rsidRDefault="00EA589F" w:rsidP="003937D0">
      <w:pPr>
        <w:widowControl w:val="0"/>
        <w:autoSpaceDE w:val="0"/>
        <w:autoSpaceDN w:val="0"/>
        <w:adjustRightInd w:val="0"/>
        <w:spacing w:after="240" w:line="276" w:lineRule="auto"/>
        <w:rPr>
          <w:rFonts w:ascii="Avenir Book" w:hAnsi="Avenir Book" w:cs="Gill Sans"/>
          <w:sz w:val="20"/>
          <w:szCs w:val="20"/>
          <w:lang w:val="es-ES"/>
        </w:rPr>
      </w:pPr>
    </w:p>
    <w:p w14:paraId="044FC224" w14:textId="77777777" w:rsidR="000E040C" w:rsidRDefault="000E040C" w:rsidP="003937D0">
      <w:pPr>
        <w:shd w:val="clear" w:color="auto" w:fill="FFFFFF"/>
        <w:spacing w:line="276" w:lineRule="auto"/>
        <w:rPr>
          <w:rFonts w:ascii="Avenir Book" w:hAnsi="Avenir Book" w:cs="Arial"/>
          <w:sz w:val="20"/>
          <w:szCs w:val="20"/>
        </w:rPr>
      </w:pPr>
    </w:p>
    <w:p w14:paraId="1046E900" w14:textId="19E48683" w:rsidR="00140554" w:rsidRPr="00140554" w:rsidRDefault="00B6447D" w:rsidP="003937D0">
      <w:pPr>
        <w:shd w:val="clear" w:color="auto" w:fill="FFFFFF"/>
        <w:spacing w:line="276" w:lineRule="auto"/>
        <w:rPr>
          <w:rFonts w:ascii="Avenir Book" w:eastAsia="Times New Roman" w:hAnsi="Avenir Book" w:cs="Arial"/>
          <w:color w:val="000000"/>
          <w:sz w:val="20"/>
          <w:szCs w:val="20"/>
        </w:rPr>
      </w:pPr>
      <w:r>
        <w:rPr>
          <w:rFonts w:ascii="Avenir Book" w:hAnsi="Avenir Book" w:cs="Arial"/>
          <w:sz w:val="20"/>
          <w:szCs w:val="20"/>
        </w:rPr>
        <w:t xml:space="preserve">* </w:t>
      </w:r>
      <w:r w:rsidR="00140554" w:rsidRPr="00D62F34">
        <w:rPr>
          <w:rFonts w:ascii="Avenir Book" w:hAnsi="Avenir Book" w:cs="Arial"/>
          <w:b/>
          <w:sz w:val="20"/>
          <w:szCs w:val="20"/>
        </w:rPr>
        <w:t>RDA</w:t>
      </w:r>
      <w:r w:rsidR="00140554">
        <w:rPr>
          <w:rFonts w:ascii="Avenir Book" w:hAnsi="Avenir Book" w:cs="Arial"/>
          <w:sz w:val="20"/>
          <w:szCs w:val="20"/>
        </w:rPr>
        <w:t xml:space="preserve"> </w:t>
      </w:r>
      <w:r w:rsidR="00F957A7">
        <w:rPr>
          <w:rFonts w:ascii="Avenir Book" w:hAnsi="Avenir Book" w:cs="Arial"/>
          <w:sz w:val="20"/>
          <w:szCs w:val="20"/>
        </w:rPr>
        <w:t xml:space="preserve">segun </w:t>
      </w:r>
      <w:r w:rsidR="00F957A7">
        <w:rPr>
          <w:rFonts w:ascii="Avenir Book" w:eastAsia="Times New Roman" w:hAnsi="Avenir Book" w:cs="Arial"/>
          <w:color w:val="000000"/>
          <w:sz w:val="20"/>
          <w:szCs w:val="20"/>
        </w:rPr>
        <w:t>Institute of Medicine de US</w:t>
      </w:r>
      <w:r w:rsidR="00140554" w:rsidRPr="00140554">
        <w:rPr>
          <w:rFonts w:ascii="Avenir Book" w:eastAsia="Times New Roman" w:hAnsi="Avenir Book" w:cs="Arial"/>
          <w:color w:val="000000"/>
          <w:sz w:val="20"/>
          <w:szCs w:val="20"/>
        </w:rPr>
        <w:t xml:space="preserve"> </w:t>
      </w:r>
      <w:r w:rsidR="00F957A7">
        <w:rPr>
          <w:rFonts w:ascii="Avenir Book" w:eastAsia="Times New Roman" w:hAnsi="Avenir Book" w:cs="Arial"/>
          <w:color w:val="000000"/>
          <w:sz w:val="20"/>
          <w:szCs w:val="20"/>
        </w:rPr>
        <w:t>(</w:t>
      </w:r>
      <w:r w:rsidR="00140554" w:rsidRPr="00140554">
        <w:rPr>
          <w:rFonts w:ascii="Avenir Book" w:eastAsia="Times New Roman" w:hAnsi="Avenir Book" w:cs="Arial"/>
          <w:color w:val="000000"/>
          <w:sz w:val="20"/>
          <w:szCs w:val="20"/>
        </w:rPr>
        <w:t>1998)</w:t>
      </w:r>
      <w:r w:rsidR="002B4E78">
        <w:rPr>
          <w:rFonts w:ascii="Avenir Book" w:eastAsia="Times New Roman" w:hAnsi="Avenir Book" w:cs="Arial"/>
          <w:color w:val="000000"/>
          <w:sz w:val="20"/>
          <w:szCs w:val="20"/>
        </w:rPr>
        <w:t xml:space="preserve"> </w:t>
      </w:r>
      <w:r w:rsidR="002B4E78">
        <w:rPr>
          <w:rFonts w:ascii="Avenir Book" w:eastAsia="Times New Roman" w:hAnsi="Avenir Book" w:cs="Arial"/>
          <w:color w:val="000000"/>
          <w:sz w:val="20"/>
          <w:szCs w:val="20"/>
        </w:rPr>
        <w:fldChar w:fldCharType="begin" w:fldLock="1"/>
      </w:r>
      <w:r w:rsidR="006F0EBD">
        <w:rPr>
          <w:rFonts w:ascii="Avenir Book" w:eastAsia="Times New Roman" w:hAnsi="Avenir Book" w:cs="Arial"/>
          <w:color w:val="000000"/>
          <w:sz w:val="20"/>
          <w:szCs w:val="20"/>
        </w:rPr>
        <w:instrText>ADDIN CSL_CITATION { "citationItems" : [ { "id" : "ITEM-1", "itemData" : { "ISBN" : "0309064112", "abstract" : "Introduction to dietary reference intakes -- The B vitamins and choline : overview and methods -- A model for the development of tolerable upper intake levels -- Thiamin -- Riboflavin -- Niacin -- Vitamin B6 -- Folate -- Vitamin B12 -- Pantothenic acid -- Biotin -- Choline -- Uses of dietary reference intakes -- A research agenda.", "author" : [ { "dropping-particle" : "", "family" : "Institute of Medicine (U.S.). Standing Committee on the Scientific Evaluation of Dietary Reference Intakes.", "given" : "", "non-dropping-particle" : "", "parse-names" : false, "suffix" : "" }, { "dropping-particle" : "", "family" : "Institute of Medicine (U.S.). Panel on Folate", "given" : "Other B Vitamins", "non-dropping-particle" : "", "parse-names" : false, "suffix" : "" }, { "dropping-particle" : "", "family" : "Institute of Medicine (U.S.). Subcommittee on Upper Reference Levels of Nutrients.", "given" : "", "non-dropping-particle" : "", "parse-names" : false, "suffix" : "" } ], "id" : "ITEM-1", "issued" : { "date-parts" : [ [ "1998" ] ] }, "number-of-pages" : "564", "publisher" : "National Academy Press", "title" : "Dietary reference intakes for thiamin, riboflavin, niacin, vitamin B\u2086, folate, vitamin B\u2081\u2082, pantothenic acid, biotin, and choline", "type" : "book" }, "uris" : [ "http://www.mendeley.com/documents/?uuid=78745175-6504-3a0e-865c-8fce12261940" ] } ], "mendeley" : { "formattedCitation" : "(7)", "plainTextFormattedCitation" : "(7)", "previouslyFormattedCitation" : "(7)" }, "properties" : { "noteIndex" : 0 }, "schema" : "https://github.com/citation-style-language/schema/raw/master/csl-citation.json" }</w:instrText>
      </w:r>
      <w:r w:rsidR="002B4E78">
        <w:rPr>
          <w:rFonts w:ascii="Avenir Book" w:eastAsia="Times New Roman" w:hAnsi="Avenir Book" w:cs="Arial"/>
          <w:color w:val="000000"/>
          <w:sz w:val="20"/>
          <w:szCs w:val="20"/>
        </w:rPr>
        <w:fldChar w:fldCharType="separate"/>
      </w:r>
      <w:r w:rsidR="002B4E78" w:rsidRPr="002B4E78">
        <w:rPr>
          <w:rFonts w:ascii="Avenir Book" w:eastAsia="Times New Roman" w:hAnsi="Avenir Book" w:cs="Arial"/>
          <w:noProof/>
          <w:color w:val="000000"/>
          <w:sz w:val="20"/>
          <w:szCs w:val="20"/>
        </w:rPr>
        <w:t>(7)</w:t>
      </w:r>
      <w:r w:rsidR="002B4E78">
        <w:rPr>
          <w:rFonts w:ascii="Avenir Book" w:eastAsia="Times New Roman" w:hAnsi="Avenir Book" w:cs="Arial"/>
          <w:color w:val="000000"/>
          <w:sz w:val="20"/>
          <w:szCs w:val="20"/>
        </w:rPr>
        <w:fldChar w:fldCharType="end"/>
      </w:r>
    </w:p>
    <w:p w14:paraId="72FBDF4C" w14:textId="52BB954D" w:rsidR="00D62F34" w:rsidRPr="003937D0" w:rsidRDefault="00D62F34" w:rsidP="003937D0">
      <w:pPr>
        <w:spacing w:line="276" w:lineRule="auto"/>
        <w:rPr>
          <w:rFonts w:ascii="Avenir Book" w:eastAsia="Times New Roman" w:hAnsi="Avenir Book" w:cs="Times New Roman"/>
          <w:color w:val="000000"/>
          <w:sz w:val="20"/>
          <w:szCs w:val="20"/>
          <w:shd w:val="clear" w:color="auto" w:fill="FFFFFF"/>
        </w:rPr>
      </w:pPr>
      <w:r>
        <w:rPr>
          <w:rFonts w:ascii="Times New Roman" w:eastAsia="Times New Roman" w:hAnsi="Times New Roman" w:cs="Times New Roman"/>
          <w:color w:val="000000"/>
          <w:shd w:val="clear" w:color="auto" w:fill="FFFFFF"/>
        </w:rPr>
        <w:tab/>
      </w:r>
      <w:r w:rsidRPr="003937D0">
        <w:rPr>
          <w:rFonts w:ascii="Avenir Book" w:eastAsia="Times New Roman" w:hAnsi="Avenir Book" w:cs="Times New Roman"/>
          <w:color w:val="000000"/>
          <w:sz w:val="20"/>
          <w:szCs w:val="20"/>
          <w:shd w:val="clear" w:color="auto" w:fill="FFFFFF"/>
        </w:rPr>
        <w:t>Hombres a</w:t>
      </w:r>
      <w:r w:rsidRPr="00D62F34">
        <w:rPr>
          <w:rFonts w:ascii="Avenir Book" w:eastAsia="Times New Roman" w:hAnsi="Avenir Book" w:cs="Times New Roman"/>
          <w:color w:val="000000"/>
          <w:sz w:val="20"/>
          <w:szCs w:val="20"/>
          <w:shd w:val="clear" w:color="auto" w:fill="FFFFFF"/>
        </w:rPr>
        <w:t>dult</w:t>
      </w:r>
      <w:r w:rsidRPr="003937D0">
        <w:rPr>
          <w:rFonts w:ascii="Avenir Book" w:eastAsia="Times New Roman" w:hAnsi="Avenir Book" w:cs="Times New Roman"/>
          <w:color w:val="000000"/>
          <w:sz w:val="20"/>
          <w:szCs w:val="20"/>
          <w:shd w:val="clear" w:color="auto" w:fill="FFFFFF"/>
        </w:rPr>
        <w:t>os: 1,2 mg/día</w:t>
      </w:r>
      <w:r w:rsidRPr="00D62F34">
        <w:rPr>
          <w:rFonts w:ascii="Avenir Book" w:eastAsia="Times New Roman" w:hAnsi="Avenir Book" w:cs="Times New Roman"/>
          <w:color w:val="000000"/>
          <w:sz w:val="20"/>
          <w:szCs w:val="20"/>
          <w:shd w:val="clear" w:color="auto" w:fill="FFFFFF"/>
        </w:rPr>
        <w:t xml:space="preserve"> </w:t>
      </w:r>
    </w:p>
    <w:p w14:paraId="7484A0AD" w14:textId="261FC81B" w:rsidR="00B6447D" w:rsidRDefault="00D62F34" w:rsidP="003937D0">
      <w:pPr>
        <w:spacing w:line="276" w:lineRule="auto"/>
        <w:rPr>
          <w:rFonts w:ascii="Avenir Book" w:eastAsia="Times New Roman" w:hAnsi="Avenir Book" w:cs="Times New Roman"/>
          <w:color w:val="000000"/>
          <w:sz w:val="20"/>
          <w:szCs w:val="20"/>
          <w:shd w:val="clear" w:color="auto" w:fill="FFFFFF"/>
        </w:rPr>
      </w:pPr>
      <w:r w:rsidRPr="003937D0">
        <w:rPr>
          <w:rFonts w:ascii="Avenir Book" w:eastAsia="Times New Roman" w:hAnsi="Avenir Book" w:cs="Times New Roman"/>
          <w:color w:val="000000"/>
          <w:sz w:val="20"/>
          <w:szCs w:val="20"/>
          <w:shd w:val="clear" w:color="auto" w:fill="FFFFFF"/>
        </w:rPr>
        <w:tab/>
        <w:t>Mujeres adultas: 1,</w:t>
      </w:r>
      <w:r w:rsidRPr="00D62F34">
        <w:rPr>
          <w:rFonts w:ascii="Avenir Book" w:eastAsia="Times New Roman" w:hAnsi="Avenir Book" w:cs="Times New Roman"/>
          <w:color w:val="000000"/>
          <w:sz w:val="20"/>
          <w:szCs w:val="20"/>
          <w:shd w:val="clear" w:color="auto" w:fill="FFFFFF"/>
        </w:rPr>
        <w:t>1 mg/</w:t>
      </w:r>
      <w:r w:rsidRPr="003937D0">
        <w:rPr>
          <w:rFonts w:ascii="Avenir Book" w:eastAsia="Times New Roman" w:hAnsi="Avenir Book" w:cs="Times New Roman"/>
          <w:color w:val="000000"/>
          <w:sz w:val="20"/>
          <w:szCs w:val="20"/>
          <w:shd w:val="clear" w:color="auto" w:fill="FFFFFF"/>
        </w:rPr>
        <w:t>día</w:t>
      </w:r>
    </w:p>
    <w:p w14:paraId="3111DC79" w14:textId="77777777" w:rsidR="00A101AE" w:rsidRPr="003937D0" w:rsidRDefault="00A101AE" w:rsidP="003937D0">
      <w:pPr>
        <w:spacing w:line="276" w:lineRule="auto"/>
        <w:rPr>
          <w:rFonts w:ascii="Avenir Book" w:eastAsia="Times New Roman" w:hAnsi="Avenir Book" w:cs="Times New Roman"/>
          <w:sz w:val="20"/>
          <w:szCs w:val="20"/>
        </w:rPr>
      </w:pPr>
    </w:p>
    <w:p w14:paraId="73D74554" w14:textId="02C31F7C" w:rsidR="00B6447D" w:rsidRPr="008060B0" w:rsidRDefault="00F957A7" w:rsidP="003937D0">
      <w:pPr>
        <w:widowControl w:val="0"/>
        <w:autoSpaceDE w:val="0"/>
        <w:autoSpaceDN w:val="0"/>
        <w:adjustRightInd w:val="0"/>
        <w:spacing w:line="276" w:lineRule="auto"/>
        <w:rPr>
          <w:rFonts w:ascii="Avenir Book" w:hAnsi="Avenir Book" w:cs="Arial"/>
          <w:sz w:val="20"/>
          <w:szCs w:val="20"/>
          <w:vertAlign w:val="superscript"/>
        </w:rPr>
      </w:pPr>
      <w:r>
        <w:rPr>
          <w:rFonts w:ascii="Avenir Book" w:hAnsi="Avenir Book" w:cs="Arial"/>
          <w:b/>
          <w:sz w:val="20"/>
          <w:szCs w:val="20"/>
        </w:rPr>
        <w:tab/>
      </w:r>
      <w:r w:rsidR="003937D0" w:rsidRPr="003067E0">
        <w:rPr>
          <w:rFonts w:ascii="Avenir Book" w:hAnsi="Avenir Book" w:cs="Arial"/>
          <w:b/>
          <w:sz w:val="20"/>
          <w:szCs w:val="20"/>
        </w:rPr>
        <w:t>Calculados como:</w:t>
      </w:r>
      <w:r w:rsidR="00A101AE">
        <w:rPr>
          <w:rFonts w:ascii="Avenir Book" w:hAnsi="Avenir Book" w:cs="Arial"/>
          <w:b/>
          <w:sz w:val="20"/>
          <w:szCs w:val="20"/>
        </w:rPr>
        <w:t xml:space="preserve"> </w:t>
      </w:r>
      <w:r w:rsidR="003937D0" w:rsidRPr="003937D0">
        <w:rPr>
          <w:rFonts w:ascii="Avenir Book" w:hAnsi="Avenir Book" w:cs="Arial"/>
          <w:sz w:val="20"/>
          <w:szCs w:val="20"/>
        </w:rPr>
        <w:t>El método utilizado para estimar las RDA combina la actividad de</w:t>
      </w:r>
      <w:r w:rsidR="00CC6BB8">
        <w:rPr>
          <w:rFonts w:ascii="Avenir Book" w:hAnsi="Avenir Book" w:cs="Arial"/>
          <w:sz w:val="20"/>
          <w:szCs w:val="20"/>
        </w:rPr>
        <w:t xml:space="preserve"> la transcetolasa eritrocitaria y</w:t>
      </w:r>
      <w:r w:rsidR="003937D0" w:rsidRPr="003937D0">
        <w:rPr>
          <w:rFonts w:ascii="Avenir Book" w:hAnsi="Avenir Book" w:cs="Arial"/>
          <w:sz w:val="20"/>
          <w:szCs w:val="20"/>
        </w:rPr>
        <w:t xml:space="preserve"> la excreción urin</w:t>
      </w:r>
      <w:r>
        <w:rPr>
          <w:rFonts w:ascii="Avenir Book" w:hAnsi="Avenir Book" w:cs="Arial"/>
          <w:sz w:val="20"/>
          <w:szCs w:val="20"/>
        </w:rPr>
        <w:t>aria de tiamina, principalmente</w:t>
      </w:r>
      <w:r w:rsidR="003937D0" w:rsidRPr="003937D0">
        <w:rPr>
          <w:rFonts w:ascii="Avenir Book" w:hAnsi="Avenir Book" w:cs="Arial"/>
          <w:sz w:val="20"/>
          <w:szCs w:val="20"/>
        </w:rPr>
        <w:t>.</w:t>
      </w:r>
    </w:p>
    <w:p w14:paraId="331031C0" w14:textId="5D8BE5D2" w:rsidR="00163AE4" w:rsidRPr="00A101AE" w:rsidRDefault="00163AE4" w:rsidP="003067E0">
      <w:pPr>
        <w:spacing w:line="276" w:lineRule="auto"/>
        <w:rPr>
          <w:rFonts w:ascii="Avenir Book" w:hAnsi="Avenir Book" w:cs="Arial"/>
          <w:b/>
          <w:sz w:val="20"/>
          <w:szCs w:val="20"/>
        </w:rPr>
      </w:pPr>
    </w:p>
    <w:p w14:paraId="13863E42" w14:textId="5FDD2325" w:rsidR="00CB463D" w:rsidRPr="00E651AC" w:rsidRDefault="008060B0" w:rsidP="00E651AC">
      <w:pPr>
        <w:spacing w:line="276" w:lineRule="auto"/>
        <w:rPr>
          <w:rFonts w:ascii="Avenir Book" w:hAnsi="Avenir Book" w:cs="Arial"/>
          <w:b/>
          <w:sz w:val="20"/>
          <w:szCs w:val="20"/>
          <w:vertAlign w:val="superscript"/>
        </w:rPr>
      </w:pPr>
      <w:r>
        <w:rPr>
          <w:rFonts w:ascii="Avenir Book" w:hAnsi="Avenir Book" w:cs="Arial"/>
          <w:b/>
          <w:sz w:val="20"/>
          <w:szCs w:val="20"/>
        </w:rPr>
        <w:t xml:space="preserve">Límite de tolerancia:  </w:t>
      </w:r>
    </w:p>
    <w:p w14:paraId="0238719A" w14:textId="1E7C63F2" w:rsidR="00CE5921" w:rsidRDefault="00CE5921" w:rsidP="00E6306B">
      <w:pPr>
        <w:widowControl w:val="0"/>
        <w:autoSpaceDE w:val="0"/>
        <w:autoSpaceDN w:val="0"/>
        <w:adjustRightInd w:val="0"/>
        <w:spacing w:line="276" w:lineRule="auto"/>
        <w:rPr>
          <w:rFonts w:ascii="Avenir Book" w:hAnsi="Avenir Book" w:cs="Gill Sans"/>
          <w:sz w:val="20"/>
          <w:szCs w:val="20"/>
          <w:lang w:val="es-ES"/>
        </w:rPr>
      </w:pPr>
      <w:r>
        <w:rPr>
          <w:rFonts w:ascii="Avenir Book" w:hAnsi="Avenir Book" w:cs="Gill Sans"/>
          <w:sz w:val="20"/>
          <w:szCs w:val="20"/>
          <w:lang w:val="es-ES"/>
        </w:rPr>
        <w:tab/>
        <w:t xml:space="preserve">Valor UL </w:t>
      </w:r>
      <w:r w:rsidRPr="00F957A7">
        <w:rPr>
          <w:rFonts w:ascii="Avenir Book" w:hAnsi="Avenir Book" w:cs="Gill Sans"/>
          <w:sz w:val="20"/>
          <w:szCs w:val="20"/>
          <w:lang w:val="es-ES"/>
        </w:rPr>
        <w:sym w:font="Wingdings" w:char="F0E0"/>
      </w:r>
      <w:r>
        <w:rPr>
          <w:rFonts w:ascii="Avenir Book" w:hAnsi="Avenir Book" w:cs="Gill Sans"/>
          <w:sz w:val="20"/>
          <w:szCs w:val="20"/>
          <w:lang w:val="es-ES"/>
        </w:rPr>
        <w:t xml:space="preserve"> no conocido </w:t>
      </w:r>
      <w:r>
        <w:rPr>
          <w:rFonts w:ascii="Avenir Book" w:hAnsi="Avenir Book" w:cs="Gill Sans"/>
          <w:sz w:val="20"/>
          <w:szCs w:val="20"/>
          <w:lang w:val="es-ES"/>
        </w:rPr>
        <w:fldChar w:fldCharType="begin" w:fldLock="1"/>
      </w:r>
      <w:r>
        <w:rPr>
          <w:rFonts w:ascii="Avenir Book" w:hAnsi="Avenir Book" w:cs="Gill Sans"/>
          <w:sz w:val="20"/>
          <w:szCs w:val="20"/>
          <w:lang w:val="es-ES"/>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Pr>
          <w:rFonts w:ascii="Avenir Book" w:hAnsi="Avenir Book" w:cs="Gill Sans"/>
          <w:sz w:val="20"/>
          <w:szCs w:val="20"/>
          <w:lang w:val="es-ES"/>
        </w:rPr>
        <w:fldChar w:fldCharType="separate"/>
      </w:r>
      <w:r w:rsidRPr="00A954D8">
        <w:rPr>
          <w:rFonts w:ascii="Avenir Book" w:hAnsi="Avenir Book" w:cs="Gill Sans"/>
          <w:noProof/>
          <w:sz w:val="20"/>
          <w:szCs w:val="20"/>
          <w:lang w:val="es-ES"/>
        </w:rPr>
        <w:t>(2)</w:t>
      </w:r>
      <w:r>
        <w:rPr>
          <w:rFonts w:ascii="Avenir Book" w:hAnsi="Avenir Book" w:cs="Gill Sans"/>
          <w:sz w:val="20"/>
          <w:szCs w:val="20"/>
          <w:lang w:val="es-ES"/>
        </w:rPr>
        <w:fldChar w:fldCharType="end"/>
      </w:r>
      <w:r>
        <w:rPr>
          <w:rFonts w:ascii="Avenir Book" w:hAnsi="Avenir Book" w:cs="Gill Sans"/>
          <w:sz w:val="20"/>
          <w:szCs w:val="20"/>
          <w:lang w:val="es-ES"/>
        </w:rPr>
        <w:t>.</w:t>
      </w:r>
    </w:p>
    <w:p w14:paraId="55A872AE" w14:textId="722ECA92" w:rsidR="008562BF" w:rsidRDefault="00E651AC" w:rsidP="00E651AC">
      <w:pPr>
        <w:widowControl w:val="0"/>
        <w:autoSpaceDE w:val="0"/>
        <w:autoSpaceDN w:val="0"/>
        <w:adjustRightInd w:val="0"/>
        <w:spacing w:line="276" w:lineRule="auto"/>
        <w:rPr>
          <w:rFonts w:ascii="Avenir Book" w:hAnsi="Avenir Book" w:cs="Gill Sans"/>
          <w:sz w:val="20"/>
          <w:szCs w:val="20"/>
          <w:lang w:val="es-ES"/>
        </w:rPr>
      </w:pPr>
      <w:r w:rsidRPr="00E651AC">
        <w:rPr>
          <w:rFonts w:ascii="Avenir Book" w:hAnsi="Avenir Book" w:cs="Gill Sans"/>
          <w:sz w:val="20"/>
          <w:szCs w:val="20"/>
          <w:lang w:val="es-ES"/>
        </w:rPr>
        <w:t>El exceso de tiamina no produce efectos nocivos por lo general y no puede hablarse, por tanto, de hipervitaminosis B</w:t>
      </w:r>
      <w:r w:rsidRPr="00E651AC">
        <w:rPr>
          <w:rFonts w:ascii="Avenir Book" w:hAnsi="Avenir Book" w:cs="Gill Sans"/>
          <w:position w:val="-6"/>
          <w:sz w:val="20"/>
          <w:szCs w:val="20"/>
          <w:lang w:val="es-ES"/>
        </w:rPr>
        <w:t>1</w:t>
      </w:r>
      <w:r>
        <w:rPr>
          <w:rFonts w:ascii="Avenir Book" w:hAnsi="Avenir Book" w:cs="Gill Sans"/>
          <w:sz w:val="20"/>
          <w:szCs w:val="20"/>
          <w:lang w:val="es-ES"/>
        </w:rPr>
        <w:t>. Se han observado, sin embar</w:t>
      </w:r>
      <w:r w:rsidRPr="00E651AC">
        <w:rPr>
          <w:rFonts w:ascii="Avenir Book" w:hAnsi="Avenir Book" w:cs="Gill Sans"/>
          <w:sz w:val="20"/>
          <w:szCs w:val="20"/>
          <w:lang w:val="es-ES"/>
        </w:rPr>
        <w:t>g</w:t>
      </w:r>
      <w:r>
        <w:rPr>
          <w:rFonts w:ascii="Avenir Book" w:hAnsi="Avenir Book" w:cs="Gill Sans"/>
          <w:sz w:val="20"/>
          <w:szCs w:val="20"/>
          <w:lang w:val="es-ES"/>
        </w:rPr>
        <w:t>o,</w:t>
      </w:r>
      <w:r w:rsidR="00F957A7">
        <w:rPr>
          <w:rFonts w:ascii="Avenir Book" w:hAnsi="Avenir Book" w:cs="Gill Sans"/>
          <w:sz w:val="20"/>
          <w:szCs w:val="20"/>
          <w:lang w:val="es-ES"/>
        </w:rPr>
        <w:t xml:space="preserve"> fenómenos de sensibilización </w:t>
      </w:r>
      <w:r w:rsidRPr="00E651AC">
        <w:rPr>
          <w:rFonts w:ascii="Avenir Book" w:hAnsi="Avenir Book" w:cs="Gill Sans"/>
          <w:sz w:val="20"/>
          <w:szCs w:val="20"/>
          <w:lang w:val="es-ES"/>
        </w:rPr>
        <w:t>en algunos sujetos tras su administración endovenosa repetida</w:t>
      </w:r>
      <w:r w:rsidR="00A954D8">
        <w:rPr>
          <w:rFonts w:ascii="Avenir Book" w:hAnsi="Avenir Book" w:cs="Gill Sans"/>
          <w:sz w:val="20"/>
          <w:szCs w:val="20"/>
          <w:lang w:val="es-ES"/>
        </w:rPr>
        <w:t xml:space="preserve"> </w:t>
      </w:r>
      <w:r w:rsidR="00A954D8">
        <w:rPr>
          <w:rFonts w:ascii="Avenir Book" w:hAnsi="Avenir Book" w:cs="Gill Sans"/>
          <w:sz w:val="20"/>
          <w:szCs w:val="20"/>
          <w:lang w:val="es-ES"/>
        </w:rPr>
        <w:fldChar w:fldCharType="begin" w:fldLock="1"/>
      </w:r>
      <w:r w:rsidR="00C26A8C">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A954D8">
        <w:rPr>
          <w:rFonts w:ascii="Avenir Book" w:hAnsi="Avenir Book" w:cs="Gill Sans"/>
          <w:sz w:val="20"/>
          <w:szCs w:val="20"/>
          <w:lang w:val="es-ES"/>
        </w:rPr>
        <w:fldChar w:fldCharType="separate"/>
      </w:r>
      <w:r w:rsidR="00A954D8" w:rsidRPr="00A954D8">
        <w:rPr>
          <w:rFonts w:ascii="Avenir Book" w:hAnsi="Avenir Book" w:cs="Gill Sans"/>
          <w:noProof/>
          <w:sz w:val="20"/>
          <w:szCs w:val="20"/>
          <w:lang w:val="es-ES"/>
        </w:rPr>
        <w:t>(1)</w:t>
      </w:r>
      <w:r w:rsidR="00A954D8">
        <w:rPr>
          <w:rFonts w:ascii="Avenir Book" w:hAnsi="Avenir Book" w:cs="Gill Sans"/>
          <w:sz w:val="20"/>
          <w:szCs w:val="20"/>
          <w:lang w:val="es-ES"/>
        </w:rPr>
        <w:fldChar w:fldCharType="end"/>
      </w:r>
      <w:r w:rsidRPr="00E651AC">
        <w:rPr>
          <w:rFonts w:ascii="Avenir Book" w:hAnsi="Avenir Book" w:cs="Gill Sans"/>
          <w:sz w:val="20"/>
          <w:szCs w:val="20"/>
          <w:lang w:val="es-ES"/>
        </w:rPr>
        <w:t>.</w:t>
      </w:r>
      <w:r w:rsidR="00C23174">
        <w:rPr>
          <w:rFonts w:ascii="Avenir Book" w:hAnsi="Avenir Book" w:cs="Gill Sans"/>
          <w:sz w:val="20"/>
          <w:szCs w:val="20"/>
          <w:lang w:val="es-ES"/>
        </w:rPr>
        <w:t xml:space="preserve"> </w:t>
      </w:r>
      <w:r w:rsidR="00C23174" w:rsidRPr="008562BF">
        <w:rPr>
          <w:rFonts w:ascii="Avenir Book" w:hAnsi="Avenir Book" w:cs="Gill Sans"/>
          <w:sz w:val="20"/>
          <w:szCs w:val="20"/>
          <w:lang w:val="es-ES"/>
        </w:rPr>
        <w:t xml:space="preserve">Esto tiene especial importancia en la nutrición parenteral </w:t>
      </w:r>
      <w:r w:rsidR="006339D7">
        <w:rPr>
          <w:rFonts w:ascii="Avenir Book" w:hAnsi="Avenir Book" w:cs="Gill Sans"/>
          <w:sz w:val="20"/>
          <w:szCs w:val="20"/>
          <w:lang w:val="es-ES"/>
        </w:rPr>
        <w:t xml:space="preserve">hospitalaria </w:t>
      </w:r>
      <w:r w:rsidR="008562BF" w:rsidRPr="008562BF">
        <w:rPr>
          <w:rFonts w:ascii="Avenir Book" w:hAnsi="Avenir Book" w:cs="Gill Sans"/>
          <w:sz w:val="20"/>
          <w:szCs w:val="20"/>
          <w:lang w:val="es-ES"/>
        </w:rPr>
        <w:t>y concretamente en pacientes desnutridos que requi</w:t>
      </w:r>
      <w:r w:rsidR="006339D7">
        <w:rPr>
          <w:rFonts w:ascii="Avenir Book" w:hAnsi="Avenir Book" w:cs="Gill Sans"/>
          <w:sz w:val="20"/>
          <w:szCs w:val="20"/>
          <w:lang w:val="es-ES"/>
        </w:rPr>
        <w:t>e</w:t>
      </w:r>
      <w:r w:rsidR="008562BF" w:rsidRPr="008562BF">
        <w:rPr>
          <w:rFonts w:ascii="Avenir Book" w:hAnsi="Avenir Book" w:cs="Gill Sans"/>
          <w:sz w:val="20"/>
          <w:szCs w:val="20"/>
          <w:lang w:val="es-ES"/>
        </w:rPr>
        <w:t>ren suplementación de esta vitamina.</w:t>
      </w:r>
    </w:p>
    <w:p w14:paraId="566B09B4" w14:textId="77777777" w:rsidR="00E651AC" w:rsidRPr="00E651AC" w:rsidRDefault="00E651AC" w:rsidP="00E651AC">
      <w:pPr>
        <w:widowControl w:val="0"/>
        <w:autoSpaceDE w:val="0"/>
        <w:autoSpaceDN w:val="0"/>
        <w:adjustRightInd w:val="0"/>
        <w:spacing w:line="276" w:lineRule="auto"/>
        <w:rPr>
          <w:rFonts w:ascii="Avenir Book" w:hAnsi="Avenir Book" w:cs="Times"/>
          <w:sz w:val="20"/>
          <w:szCs w:val="20"/>
          <w:lang w:val="es-ES"/>
        </w:rPr>
      </w:pPr>
    </w:p>
    <w:p w14:paraId="519DBD33" w14:textId="77777777" w:rsidR="009D094C" w:rsidRDefault="009D094C" w:rsidP="009D094C">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4. Tratamiento nutricional + suplementación</w:t>
      </w:r>
    </w:p>
    <w:p w14:paraId="5BCB3607" w14:textId="2A9D8AA5" w:rsidR="003A4E08" w:rsidRDefault="003A4E08" w:rsidP="003067E0">
      <w:pPr>
        <w:spacing w:line="276" w:lineRule="auto"/>
        <w:rPr>
          <w:rFonts w:ascii="Avenir Book" w:hAnsi="Avenir Book" w:cs="Times"/>
          <w:sz w:val="20"/>
          <w:szCs w:val="20"/>
          <w:lang w:val="es-ES"/>
        </w:rPr>
      </w:pPr>
      <w:r w:rsidRPr="002873E9">
        <w:rPr>
          <w:rFonts w:ascii="Avenir Book" w:hAnsi="Avenir Book" w:cs="Times"/>
          <w:b/>
          <w:sz w:val="20"/>
          <w:szCs w:val="20"/>
          <w:lang w:val="es-ES"/>
        </w:rPr>
        <w:t>A nivel hospitalario</w:t>
      </w:r>
      <w:r>
        <w:rPr>
          <w:rFonts w:ascii="Avenir Book" w:hAnsi="Avenir Book" w:cs="Times"/>
          <w:sz w:val="20"/>
          <w:szCs w:val="20"/>
          <w:lang w:val="es-ES"/>
        </w:rPr>
        <w:t xml:space="preserve"> para tratar la deficiencia de vitamina B1 s</w:t>
      </w:r>
      <w:r w:rsidR="00590EE3" w:rsidRPr="003067E0">
        <w:rPr>
          <w:rFonts w:ascii="Avenir Book" w:hAnsi="Avenir Book" w:cs="Times"/>
          <w:sz w:val="20"/>
          <w:szCs w:val="20"/>
          <w:lang w:val="es-ES"/>
        </w:rPr>
        <w:t>on necesarias dosis diarias de tiamina de 100 mg/día i.v./i.m. durante 7-14 días, seguida de 100 mg/día v.o. hasta la total recuperación</w:t>
      </w:r>
      <w:r w:rsidR="00C26A8C">
        <w:rPr>
          <w:rFonts w:ascii="Avenir Book" w:hAnsi="Avenir Book" w:cs="Times"/>
          <w:sz w:val="20"/>
          <w:szCs w:val="20"/>
          <w:lang w:val="es-ES"/>
        </w:rPr>
        <w:t xml:space="preserve"> </w:t>
      </w:r>
      <w:r w:rsidR="00C26A8C">
        <w:rPr>
          <w:rFonts w:ascii="Avenir Book" w:hAnsi="Avenir Book" w:cs="Times"/>
          <w:sz w:val="20"/>
          <w:szCs w:val="20"/>
          <w:lang w:val="es-ES"/>
        </w:rPr>
        <w:fldChar w:fldCharType="begin" w:fldLock="1"/>
      </w:r>
      <w:r w:rsidR="00F87EB2">
        <w:rPr>
          <w:rFonts w:ascii="Avenir Book" w:hAnsi="Avenir Book" w:cs="Time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C26A8C">
        <w:rPr>
          <w:rFonts w:ascii="Avenir Book" w:hAnsi="Avenir Book" w:cs="Times"/>
          <w:sz w:val="20"/>
          <w:szCs w:val="20"/>
          <w:lang w:val="es-ES"/>
        </w:rPr>
        <w:fldChar w:fldCharType="separate"/>
      </w:r>
      <w:r w:rsidR="00C26A8C" w:rsidRPr="00C26A8C">
        <w:rPr>
          <w:rFonts w:ascii="Avenir Book" w:hAnsi="Avenir Book" w:cs="Times"/>
          <w:noProof/>
          <w:sz w:val="20"/>
          <w:szCs w:val="20"/>
          <w:lang w:val="es-ES"/>
        </w:rPr>
        <w:t>(1)</w:t>
      </w:r>
      <w:r w:rsidR="00C26A8C">
        <w:rPr>
          <w:rFonts w:ascii="Avenir Book" w:hAnsi="Avenir Book" w:cs="Times"/>
          <w:sz w:val="20"/>
          <w:szCs w:val="20"/>
          <w:lang w:val="es-ES"/>
        </w:rPr>
        <w:fldChar w:fldCharType="end"/>
      </w:r>
      <w:r w:rsidR="00590EE3" w:rsidRPr="003067E0">
        <w:rPr>
          <w:rFonts w:ascii="Avenir Book" w:hAnsi="Avenir Book" w:cs="Times"/>
          <w:sz w:val="20"/>
          <w:szCs w:val="20"/>
          <w:lang w:val="es-ES"/>
        </w:rPr>
        <w:t>.</w:t>
      </w:r>
      <w:r w:rsidR="00EA589F">
        <w:rPr>
          <w:rFonts w:ascii="Avenir Book" w:hAnsi="Avenir Book" w:cs="Times"/>
          <w:sz w:val="20"/>
          <w:szCs w:val="20"/>
          <w:lang w:val="es-ES"/>
        </w:rPr>
        <w:t xml:space="preserve"> </w:t>
      </w:r>
    </w:p>
    <w:p w14:paraId="22FA17A2" w14:textId="77777777" w:rsidR="00C26A8C" w:rsidRDefault="00C26A8C" w:rsidP="003067E0">
      <w:pPr>
        <w:spacing w:line="276" w:lineRule="auto"/>
        <w:rPr>
          <w:rFonts w:ascii="Avenir Book" w:hAnsi="Avenir Book" w:cs="Times"/>
          <w:sz w:val="20"/>
          <w:szCs w:val="20"/>
          <w:lang w:val="es-ES"/>
        </w:rPr>
      </w:pPr>
    </w:p>
    <w:p w14:paraId="6F696CA1" w14:textId="6D466A82" w:rsidR="00C26A8C" w:rsidRDefault="00C26A8C" w:rsidP="003067E0">
      <w:pPr>
        <w:spacing w:line="276" w:lineRule="auto"/>
        <w:rPr>
          <w:rFonts w:ascii="Avenir Book" w:hAnsi="Avenir Book" w:cs="Times"/>
          <w:sz w:val="20"/>
          <w:szCs w:val="20"/>
          <w:lang w:val="es-ES"/>
        </w:rPr>
      </w:pPr>
      <w:r w:rsidRPr="002873E9">
        <w:rPr>
          <w:rFonts w:ascii="Avenir Book" w:hAnsi="Avenir Book" w:cs="Times"/>
          <w:b/>
          <w:sz w:val="20"/>
          <w:szCs w:val="20"/>
          <w:lang w:val="es-ES"/>
        </w:rPr>
        <w:t>A nivel de consulta</w:t>
      </w:r>
      <w:r w:rsidR="002873E9">
        <w:rPr>
          <w:rFonts w:ascii="Avenir Book" w:hAnsi="Avenir Book" w:cs="Times"/>
          <w:b/>
          <w:sz w:val="20"/>
          <w:szCs w:val="20"/>
          <w:lang w:val="es-ES"/>
        </w:rPr>
        <w:t xml:space="preserve">, </w:t>
      </w:r>
      <w:r w:rsidR="00260C44">
        <w:rPr>
          <w:rFonts w:ascii="Avenir Book" w:hAnsi="Avenir Book" w:cs="Times"/>
          <w:sz w:val="20"/>
          <w:szCs w:val="20"/>
          <w:lang w:val="es-ES"/>
        </w:rPr>
        <w:t>aún sabiend</w:t>
      </w:r>
      <w:r w:rsidR="002873E9">
        <w:rPr>
          <w:rFonts w:ascii="Avenir Book" w:hAnsi="Avenir Book" w:cs="Times"/>
          <w:sz w:val="20"/>
          <w:szCs w:val="20"/>
          <w:lang w:val="es-ES"/>
        </w:rPr>
        <w:t>o que un déficit de tiamina es muy poco habitual,</w:t>
      </w:r>
      <w:r w:rsidRPr="002873E9">
        <w:rPr>
          <w:rFonts w:ascii="Avenir Book" w:hAnsi="Avenir Book" w:cs="Times"/>
          <w:b/>
          <w:sz w:val="20"/>
          <w:szCs w:val="20"/>
          <w:lang w:val="es-ES"/>
        </w:rPr>
        <w:t xml:space="preserve"> </w:t>
      </w:r>
      <w:r w:rsidR="002873E9">
        <w:rPr>
          <w:rFonts w:ascii="Avenir Book" w:hAnsi="Avenir Book" w:cs="Times"/>
          <w:sz w:val="20"/>
          <w:szCs w:val="20"/>
          <w:lang w:val="es-ES"/>
        </w:rPr>
        <w:t>puede ser de ayuda tener en cuenta que:</w:t>
      </w:r>
    </w:p>
    <w:p w14:paraId="57DE54AE" w14:textId="47144334" w:rsidR="002873E9" w:rsidRDefault="002873E9" w:rsidP="002873E9">
      <w:pPr>
        <w:spacing w:line="276" w:lineRule="auto"/>
        <w:rPr>
          <w:rFonts w:ascii="Avenir Book" w:hAnsi="Avenir Book"/>
          <w:sz w:val="20"/>
          <w:szCs w:val="20"/>
        </w:rPr>
      </w:pPr>
      <w:r>
        <w:rPr>
          <w:rFonts w:ascii="Avenir Book" w:hAnsi="Avenir Book"/>
          <w:sz w:val="20"/>
          <w:szCs w:val="20"/>
        </w:rPr>
        <w:tab/>
        <w:t>- Las principales fuentes alimentarias de vitamina B1 son: cereales integrales y alimentos a base de cereales (pan)</w:t>
      </w:r>
      <w:r w:rsidR="001F6423">
        <w:rPr>
          <w:rFonts w:ascii="Avenir Book" w:hAnsi="Avenir Book"/>
          <w:sz w:val="20"/>
          <w:szCs w:val="20"/>
        </w:rPr>
        <w:t xml:space="preserve"> no refinados</w:t>
      </w:r>
      <w:r>
        <w:rPr>
          <w:rFonts w:ascii="Avenir Book" w:hAnsi="Avenir Book"/>
          <w:sz w:val="20"/>
          <w:szCs w:val="20"/>
        </w:rPr>
        <w:t>, carne (principalmente la de cerdo), pescado, hígado, legumbres, frutos secos</w:t>
      </w:r>
      <w:r w:rsidR="00F87EB2">
        <w:rPr>
          <w:rFonts w:ascii="Avenir Book" w:hAnsi="Avenir Book"/>
          <w:sz w:val="20"/>
          <w:szCs w:val="20"/>
        </w:rPr>
        <w:t>, levadura</w:t>
      </w:r>
      <w:r>
        <w:rPr>
          <w:rFonts w:ascii="Avenir Book" w:hAnsi="Avenir Book"/>
          <w:sz w:val="20"/>
          <w:szCs w:val="20"/>
        </w:rPr>
        <w:t xml:space="preserve"> </w:t>
      </w:r>
      <w:r w:rsidR="00260C44">
        <w:rPr>
          <w:rFonts w:ascii="Avenir Book" w:hAnsi="Avenir Book"/>
          <w:sz w:val="20"/>
          <w:szCs w:val="20"/>
        </w:rPr>
        <w:t xml:space="preserve">de cerveza </w:t>
      </w:r>
      <w:r>
        <w:rPr>
          <w:rFonts w:ascii="Avenir Book" w:hAnsi="Avenir Book"/>
          <w:sz w:val="20"/>
          <w:szCs w:val="20"/>
        </w:rPr>
        <w:t>y alimentos fortificados</w:t>
      </w:r>
      <w:r w:rsidR="00F87EB2">
        <w:rPr>
          <w:rFonts w:ascii="Avenir Book" w:hAnsi="Avenir Book"/>
          <w:sz w:val="20"/>
          <w:szCs w:val="20"/>
        </w:rPr>
        <w:t xml:space="preserve"> </w:t>
      </w:r>
      <w:r w:rsidR="00F87EB2">
        <w:rPr>
          <w:rFonts w:ascii="Avenir Book" w:hAnsi="Avenir Book"/>
          <w:sz w:val="20"/>
          <w:szCs w:val="20"/>
        </w:rPr>
        <w:fldChar w:fldCharType="begin" w:fldLock="1"/>
      </w:r>
      <w:r w:rsidR="006F0EBD">
        <w:rPr>
          <w:rFonts w:ascii="Avenir Book" w:hAnsi="Avenir Book"/>
          <w:sz w:val="20"/>
          <w:szCs w:val="20"/>
        </w:rPr>
        <w:instrText>ADDIN CSL_CITATION { "citationItems" : [ { "id" : "ITEM-1", "itemData" : { "abstract" : "The best sources of thiamin include yeast extract, pork, fortified breakfast cereals, enriched grain products and meatless soy products. This table will show you foods which are sources of thiamin. Age in years Aim for an intake of milligrams (mg)/day Stay below mg/day", "id" : "ITEM-1", "issued" : { "date-parts" : [ [ "2016" ] ] }, "title" : "Food Sources of Thiamin (Vitamin B1) How Much Thiamin Should I Aim For? Thiamin Content of Some Common Foods", "type" : "article-journal" }, "uris" : [ "http://www.mendeley.com/documents/?uuid=975eccd3-ab01-3616-b33f-157fbfd89d60" ] } ], "mendeley" : { "formattedCitation" : "(8)", "plainTextFormattedCitation" : "(8)", "previouslyFormattedCitation" : "(8)" }, "properties" : { "noteIndex" : 0 }, "schema" : "https://github.com/citation-style-language/schema/raw/master/csl-citation.json" }</w:instrText>
      </w:r>
      <w:r w:rsidR="00F87EB2">
        <w:rPr>
          <w:rFonts w:ascii="Avenir Book" w:hAnsi="Avenir Book"/>
          <w:sz w:val="20"/>
          <w:szCs w:val="20"/>
        </w:rPr>
        <w:fldChar w:fldCharType="separate"/>
      </w:r>
      <w:r w:rsidR="002B4E78" w:rsidRPr="002B4E78">
        <w:rPr>
          <w:rFonts w:ascii="Avenir Book" w:hAnsi="Avenir Book"/>
          <w:noProof/>
          <w:sz w:val="20"/>
          <w:szCs w:val="20"/>
        </w:rPr>
        <w:t>(8)</w:t>
      </w:r>
      <w:r w:rsidR="00F87EB2">
        <w:rPr>
          <w:rFonts w:ascii="Avenir Book" w:hAnsi="Avenir Book"/>
          <w:sz w:val="20"/>
          <w:szCs w:val="20"/>
        </w:rPr>
        <w:fldChar w:fldCharType="end"/>
      </w:r>
      <w:r>
        <w:rPr>
          <w:rFonts w:ascii="Avenir Book" w:hAnsi="Avenir Book"/>
          <w:sz w:val="20"/>
          <w:szCs w:val="20"/>
        </w:rPr>
        <w:t>.</w:t>
      </w:r>
      <w:r w:rsidR="000C78A2">
        <w:rPr>
          <w:rFonts w:ascii="Avenir Book" w:hAnsi="Avenir Book"/>
          <w:sz w:val="20"/>
          <w:szCs w:val="20"/>
        </w:rPr>
        <w:t xml:space="preserve"> En </w:t>
      </w:r>
      <w:r w:rsidR="00E6306B">
        <w:rPr>
          <w:rFonts w:ascii="Avenir Book" w:hAnsi="Avenir Book"/>
          <w:sz w:val="20"/>
          <w:szCs w:val="20"/>
        </w:rPr>
        <w:t>los alimentos de origen vegetal</w:t>
      </w:r>
      <w:r w:rsidR="000C78A2">
        <w:rPr>
          <w:rFonts w:ascii="Avenir Book" w:hAnsi="Avenir Book"/>
          <w:sz w:val="20"/>
          <w:szCs w:val="20"/>
        </w:rPr>
        <w:t xml:space="preserve"> se encuentra en su forma libre y en los de origen animal en sus formas fosforiladas.</w:t>
      </w:r>
    </w:p>
    <w:p w14:paraId="6D0F9306" w14:textId="081E44E5" w:rsidR="007021F4" w:rsidRDefault="007021F4" w:rsidP="002873E9">
      <w:pPr>
        <w:spacing w:line="276" w:lineRule="auto"/>
        <w:rPr>
          <w:rFonts w:ascii="Avenir Book" w:hAnsi="Avenir Book"/>
          <w:sz w:val="20"/>
          <w:szCs w:val="20"/>
        </w:rPr>
      </w:pPr>
      <w:r>
        <w:rPr>
          <w:rFonts w:ascii="Avenir Book" w:hAnsi="Avenir Book"/>
          <w:sz w:val="20"/>
          <w:szCs w:val="20"/>
        </w:rPr>
        <w:tab/>
        <w:t xml:space="preserve">- </w:t>
      </w:r>
      <w:r w:rsidR="000C78A2">
        <w:rPr>
          <w:rFonts w:ascii="Avenir Book" w:hAnsi="Avenir Book"/>
          <w:sz w:val="20"/>
          <w:szCs w:val="20"/>
        </w:rPr>
        <w:t>Pueden reducir la bidisponibilidad de la tiamina el alcohol</w:t>
      </w:r>
      <w:r w:rsidR="004910A3">
        <w:rPr>
          <w:rFonts w:ascii="Avenir Book" w:hAnsi="Avenir Book"/>
          <w:sz w:val="20"/>
          <w:szCs w:val="20"/>
        </w:rPr>
        <w:t xml:space="preserve"> (inhibe su transporte activo a nivel intestinal)</w:t>
      </w:r>
      <w:r w:rsidR="000C78A2">
        <w:rPr>
          <w:rFonts w:ascii="Avenir Book" w:hAnsi="Avenir Book"/>
          <w:sz w:val="20"/>
          <w:szCs w:val="20"/>
        </w:rPr>
        <w:t xml:space="preserve"> y factores anti-tiamina (compuestos fenólicos, sulfitos y tiaminasas) presentes en algunos</w:t>
      </w:r>
      <w:r w:rsidR="00942684">
        <w:rPr>
          <w:rFonts w:ascii="Avenir Book" w:hAnsi="Avenir Book"/>
          <w:sz w:val="20"/>
          <w:szCs w:val="20"/>
        </w:rPr>
        <w:t xml:space="preserve"> alimentos como el café y el te y</w:t>
      </w:r>
      <w:r w:rsidR="00E6306B">
        <w:rPr>
          <w:rFonts w:ascii="Avenir Book" w:hAnsi="Avenir Book"/>
          <w:sz w:val="20"/>
          <w:szCs w:val="20"/>
        </w:rPr>
        <w:t xml:space="preserve"> el</w:t>
      </w:r>
      <w:r w:rsidR="00942684">
        <w:rPr>
          <w:rFonts w:ascii="Avenir Book" w:hAnsi="Avenir Book"/>
          <w:sz w:val="20"/>
          <w:szCs w:val="20"/>
        </w:rPr>
        <w:t xml:space="preserve"> pescado crudo</w:t>
      </w:r>
      <w:r w:rsidR="000C78A2">
        <w:rPr>
          <w:rFonts w:ascii="Avenir Book" w:hAnsi="Avenir Book"/>
          <w:sz w:val="20"/>
          <w:szCs w:val="20"/>
        </w:rPr>
        <w:t xml:space="preserve"> </w:t>
      </w:r>
      <w:r w:rsidR="000C78A2">
        <w:rPr>
          <w:rFonts w:ascii="Avenir Book" w:hAnsi="Avenir Book"/>
          <w:sz w:val="20"/>
          <w:szCs w:val="20"/>
        </w:rPr>
        <w:fldChar w:fldCharType="begin" w:fldLock="1"/>
      </w:r>
      <w:r w:rsidR="000C78A2">
        <w:rPr>
          <w:rFonts w:ascii="Avenir Book" w:hAnsi="Avenir Book"/>
          <w:sz w:val="20"/>
          <w:szCs w:val="20"/>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0C78A2">
        <w:rPr>
          <w:rFonts w:ascii="Avenir Book" w:hAnsi="Avenir Book"/>
          <w:sz w:val="20"/>
          <w:szCs w:val="20"/>
        </w:rPr>
        <w:fldChar w:fldCharType="separate"/>
      </w:r>
      <w:r w:rsidR="000C78A2" w:rsidRPr="000C78A2">
        <w:rPr>
          <w:rFonts w:ascii="Avenir Book" w:hAnsi="Avenir Book"/>
          <w:noProof/>
          <w:sz w:val="20"/>
          <w:szCs w:val="20"/>
        </w:rPr>
        <w:t>(2)</w:t>
      </w:r>
      <w:r w:rsidR="000C78A2">
        <w:rPr>
          <w:rFonts w:ascii="Avenir Book" w:hAnsi="Avenir Book"/>
          <w:sz w:val="20"/>
          <w:szCs w:val="20"/>
        </w:rPr>
        <w:fldChar w:fldCharType="end"/>
      </w:r>
      <w:r w:rsidR="001F6423">
        <w:rPr>
          <w:rFonts w:ascii="Avenir Book" w:hAnsi="Avenir Book"/>
          <w:sz w:val="20"/>
          <w:szCs w:val="20"/>
        </w:rPr>
        <w:t>.</w:t>
      </w:r>
    </w:p>
    <w:p w14:paraId="0C45B06E" w14:textId="77777777" w:rsidR="006339D7" w:rsidRPr="002873E9" w:rsidRDefault="006339D7" w:rsidP="002873E9">
      <w:pPr>
        <w:spacing w:line="276" w:lineRule="auto"/>
        <w:rPr>
          <w:rFonts w:ascii="Avenir Book" w:hAnsi="Avenir Book"/>
          <w:sz w:val="20"/>
          <w:szCs w:val="20"/>
        </w:rPr>
      </w:pPr>
    </w:p>
    <w:p w14:paraId="4A60093F" w14:textId="2A7E2DFB" w:rsidR="007021F4" w:rsidRDefault="002873E9" w:rsidP="00F87EB2">
      <w:pPr>
        <w:widowControl w:val="0"/>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ab/>
        <w:t xml:space="preserve">- </w:t>
      </w:r>
      <w:r w:rsidR="00F87EB2">
        <w:rPr>
          <w:rFonts w:ascii="Avenir Book" w:hAnsi="Avenir Book" w:cs="Gill Sans"/>
          <w:sz w:val="20"/>
          <w:szCs w:val="20"/>
          <w:lang w:val="es-ES"/>
        </w:rPr>
        <w:t>D</w:t>
      </w:r>
      <w:r>
        <w:rPr>
          <w:rFonts w:ascii="Avenir Book" w:hAnsi="Avenir Book" w:cs="Gill Sans"/>
          <w:sz w:val="20"/>
          <w:szCs w:val="20"/>
          <w:lang w:val="es-ES"/>
        </w:rPr>
        <w:t xml:space="preserve">ebido a </w:t>
      </w:r>
      <w:r w:rsidRPr="003E5719">
        <w:rPr>
          <w:rFonts w:ascii="Avenir Book" w:hAnsi="Avenir Book" w:cs="Gill Sans"/>
          <w:sz w:val="20"/>
          <w:szCs w:val="20"/>
          <w:lang w:val="es-ES"/>
        </w:rPr>
        <w:t>la ausencia de reservas orgánicas importantes</w:t>
      </w:r>
      <w:r>
        <w:rPr>
          <w:rFonts w:ascii="Avenir Book" w:hAnsi="Avenir Book" w:cs="Gill Sans"/>
          <w:sz w:val="20"/>
          <w:szCs w:val="20"/>
          <w:lang w:val="es-ES"/>
        </w:rPr>
        <w:t xml:space="preserve"> de tiamina </w:t>
      </w:r>
      <w:r w:rsidR="001F6423">
        <w:rPr>
          <w:rFonts w:ascii="Avenir Book" w:hAnsi="Avenir Book" w:cs="Gill Sans"/>
          <w:sz w:val="20"/>
          <w:szCs w:val="20"/>
          <w:lang w:val="es-ES"/>
        </w:rPr>
        <w:t xml:space="preserve">en el cuerpo </w:t>
      </w:r>
      <w:r>
        <w:rPr>
          <w:rFonts w:ascii="Avenir Book" w:hAnsi="Avenir Book" w:cs="Gill Sans"/>
          <w:sz w:val="20"/>
          <w:szCs w:val="20"/>
          <w:lang w:val="es-ES"/>
        </w:rPr>
        <w:t xml:space="preserve">se </w:t>
      </w:r>
      <w:r w:rsidRPr="003E5719">
        <w:rPr>
          <w:rFonts w:ascii="Avenir Book" w:hAnsi="Avenir Book" w:cs="Gill Sans"/>
          <w:sz w:val="20"/>
          <w:szCs w:val="20"/>
          <w:lang w:val="es-ES"/>
        </w:rPr>
        <w:t>hace necesario el aporte cotidiano de las cantidades recomendadas</w:t>
      </w:r>
      <w:r w:rsidR="000C78A2">
        <w:rPr>
          <w:rFonts w:ascii="Avenir Book" w:hAnsi="Avenir Book" w:cs="Gill Sans"/>
          <w:sz w:val="20"/>
          <w:szCs w:val="20"/>
          <w:lang w:val="es-ES"/>
        </w:rPr>
        <w:t xml:space="preserve"> </w:t>
      </w:r>
      <w:r w:rsidR="000C78A2">
        <w:rPr>
          <w:rFonts w:ascii="Avenir Book" w:hAnsi="Avenir Book" w:cs="Gill Sans"/>
          <w:sz w:val="20"/>
          <w:szCs w:val="20"/>
          <w:lang w:val="es-ES"/>
        </w:rPr>
        <w:fldChar w:fldCharType="begin" w:fldLock="1"/>
      </w:r>
      <w:r w:rsidR="000C78A2">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0C78A2">
        <w:rPr>
          <w:rFonts w:ascii="Avenir Book" w:hAnsi="Avenir Book" w:cs="Gill Sans"/>
          <w:sz w:val="20"/>
          <w:szCs w:val="20"/>
          <w:lang w:val="es-ES"/>
        </w:rPr>
        <w:fldChar w:fldCharType="separate"/>
      </w:r>
      <w:r w:rsidR="000C78A2" w:rsidRPr="000C78A2">
        <w:rPr>
          <w:rFonts w:ascii="Avenir Book" w:hAnsi="Avenir Book" w:cs="Gill Sans"/>
          <w:noProof/>
          <w:sz w:val="20"/>
          <w:szCs w:val="20"/>
          <w:lang w:val="es-ES"/>
        </w:rPr>
        <w:t>(1)</w:t>
      </w:r>
      <w:r w:rsidR="000C78A2">
        <w:rPr>
          <w:rFonts w:ascii="Avenir Book" w:hAnsi="Avenir Book" w:cs="Gill Sans"/>
          <w:sz w:val="20"/>
          <w:szCs w:val="20"/>
          <w:lang w:val="es-ES"/>
        </w:rPr>
        <w:fldChar w:fldCharType="end"/>
      </w:r>
      <w:r w:rsidR="001F6423">
        <w:rPr>
          <w:rFonts w:ascii="Avenir Book" w:hAnsi="Avenir Book" w:cs="Gill Sans"/>
          <w:sz w:val="20"/>
          <w:szCs w:val="20"/>
          <w:lang w:val="es-ES"/>
        </w:rPr>
        <w:t xml:space="preserve"> a través de las principales fuentes alimentarias anteriormente mencionadas.</w:t>
      </w:r>
    </w:p>
    <w:p w14:paraId="281F9D5B" w14:textId="6A3C7234" w:rsidR="002873E9" w:rsidRDefault="007021F4" w:rsidP="00F87EB2">
      <w:pPr>
        <w:widowControl w:val="0"/>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ab/>
      </w:r>
      <w:r w:rsidR="00F87EB2">
        <w:rPr>
          <w:rFonts w:ascii="Avenir Book" w:hAnsi="Avenir Book" w:cs="Gill Sans"/>
          <w:sz w:val="20"/>
          <w:szCs w:val="20"/>
          <w:lang w:val="es-ES"/>
        </w:rPr>
        <w:t>- Sabiendo</w:t>
      </w:r>
      <w:r w:rsidR="002873E9">
        <w:rPr>
          <w:rFonts w:ascii="Avenir Book" w:hAnsi="Avenir Book" w:cs="Gill Sans"/>
          <w:sz w:val="20"/>
          <w:szCs w:val="20"/>
          <w:lang w:val="es-ES"/>
        </w:rPr>
        <w:t xml:space="preserve"> que los cereales integrales</w:t>
      </w:r>
      <w:r w:rsidR="00F87EB2">
        <w:rPr>
          <w:rFonts w:ascii="Avenir Book" w:hAnsi="Avenir Book" w:cs="Gill Sans"/>
          <w:sz w:val="20"/>
          <w:szCs w:val="20"/>
          <w:lang w:val="es-ES"/>
        </w:rPr>
        <w:t xml:space="preserve"> y alimentos a base de cerales</w:t>
      </w:r>
      <w:r w:rsidR="002873E9">
        <w:rPr>
          <w:rFonts w:ascii="Avenir Book" w:hAnsi="Avenir Book" w:cs="Gill Sans"/>
          <w:sz w:val="20"/>
          <w:szCs w:val="20"/>
          <w:lang w:val="es-ES"/>
        </w:rPr>
        <w:t xml:space="preserve"> són </w:t>
      </w:r>
      <w:r w:rsidR="00F87EB2">
        <w:rPr>
          <w:rFonts w:ascii="Avenir Book" w:hAnsi="Avenir Book" w:cs="Gill Sans"/>
          <w:sz w:val="20"/>
          <w:szCs w:val="20"/>
          <w:lang w:val="es-ES"/>
        </w:rPr>
        <w:t>el principal grupo de alimento</w:t>
      </w:r>
      <w:r w:rsidR="001F6423">
        <w:rPr>
          <w:rFonts w:ascii="Avenir Book" w:hAnsi="Avenir Book" w:cs="Gill Sans"/>
          <w:sz w:val="20"/>
          <w:szCs w:val="20"/>
          <w:lang w:val="es-ES"/>
        </w:rPr>
        <w:t>s</w:t>
      </w:r>
      <w:r w:rsidR="00F87EB2">
        <w:rPr>
          <w:rFonts w:ascii="Avenir Book" w:hAnsi="Avenir Book" w:cs="Gill Sans"/>
          <w:sz w:val="20"/>
          <w:szCs w:val="20"/>
          <w:lang w:val="es-ES"/>
        </w:rPr>
        <w:t xml:space="preserve"> que contribuye al aporte diario de esta vitamina </w:t>
      </w:r>
      <w:r w:rsidR="00F87EB2">
        <w:rPr>
          <w:rFonts w:ascii="Avenir Book" w:hAnsi="Avenir Book" w:cs="Gill Sans"/>
          <w:sz w:val="20"/>
          <w:szCs w:val="20"/>
          <w:lang w:val="es-ES"/>
        </w:rPr>
        <w:fldChar w:fldCharType="begin" w:fldLock="1"/>
      </w:r>
      <w:r w:rsidR="000C78A2">
        <w:rPr>
          <w:rFonts w:ascii="Avenir Book" w:hAnsi="Avenir Book" w:cs="Gill Sans"/>
          <w:sz w:val="20"/>
          <w:szCs w:val="20"/>
          <w:lang w:val="es-ES"/>
        </w:rPr>
        <w:instrText>ADDIN CSL_CITATION { "citationItems" : [ { "id" : "ITEM-1", "itemData" : { "DOI" : "10.2903/j.efsa.20YY.NNNN", "abstract" : "12 Following a request from the European Commission, the EFSA Panel on Dietetic Products, Nutrition and Allergies 13 (NDA) derived Dietary Reference Values (DRVs) for thiamin (vitamin B1). The Panel considers that data from 14 depletion\u2013repletion studies in adults on the amount of dietary thiamin intake associated with erythrocyte transketolase 15 activity coefficient (\u03b1ETK) &lt; 1.15, generally considered to reflect an adequate thiamin status, or with the restoration of 16 normal (baseline) erythrocyte transketolase activity, without a sharp increase in urinary thiamin excretion, can be used 17 to estimate thiamin requirement. In the absence of new scientific evidence, the Panel endorses the Average 18 Requirement (AR) of 0.072 mg/MJ (0.3 mg/1,000 kcal) for all adults proposed by the Scientific Committee for Food 19 (SCF) in 1993 on the basis of one depletion\u2013repletion study, in which both \u03b1ETK and urinary thiamin excretion were 20 measured. Results from other depletion\u2013repletion studies are in agreement with this value. The Panel agrees on the 21 coefficient of variation of 20% used by the SCF to cover uncertainties related to distribution of thiamin requirements 22 in the general population, and endorses the Population Reference Intake (PRI) of 0.1 mg/MJ (0.4 mg/1,000 kcal) set by 23 the SCF for all adults. The same AR and PRI as for adults, expressed in mg/MJ, are proposed for infants aged 7 to 24 11 months, children aged 1 to &lt; 18 years, and during pregnancy and lactation, under the assumption that the 25 relationship between thiamin requirement and energy requirement is the same in all population groups.", "author" : [ { "dropping-particle" : "", "family" : "Turck", "given" : "Dominique", "non-dropping-particle" : "", "parse-names" : false, "suffix" : "" }, { "dropping-particle" : "", "family" : "Bresson", "given" : "Jean-Louis", "non-dropping-particle" : "", "parse-names" : false, "suffix" : "" }, { "dropping-particle" : "", "family" : "Burlingame", "given" : "Barbara", "non-dropping-particle" : "", "parse-names" : false, "suffix" : "" }, { "dropping-particle" : "", "family" : "Fairweather-Tait", "given" : "Susan", "non-dropping-particle" : "", "parse-names" : false, "suffix" : "" }, { "dropping-particle" : "", "family" : "Heinonen", "given" : "Marina", "non-dropping-particle" : "", "parse-names" : false, "suffix" : "" }, { "dropping-particle" : "", "family" : "Mangelsdorf", "given" : "Inge", "non-dropping-particle" : "", "parse-names" : false, "suffix" : "" }, { "dropping-particle" : "", "family" : "McArdle", "given" : "Harry", "non-dropping-particle" : "", "parse-names" : false, "suffix" : "" }, { "dropping-particle" : "", "family" : "Nowicka", "given" : "Gra\u017cyna", "non-dropping-particle" : "", "parse-names" : false, "suffix" : "" }, { "dropping-particle" : "", "family" : "Pentieva", "given" : "Kristina", "non-dropping-particle" : "", "parse-names" : false, "suffix" : "" }, { "dropping-particle" : "", "family" : "Sanz", "given" : "Yolanda", "non-dropping-particle" : "", "parse-names" : false, "suffix" : "" }, { "dropping-particle" : "", "family" : "Siani", "given" : "Alfonso", "non-dropping-particle" : "", "parse-names" : false, "suffix" : "" }, { "dropping-particle" : "", "family" : "Sj\u00f6din", "given" : "Anders", "non-dropping-particle" : "", "parse-names" : false, "suffix" : "" }, { "dropping-particle" : "", "family" : "Stern", "given" : "Martin", "non-dropping-particle" : "", "parse-names" : false, "suffix" : "" }, { "dropping-particle" : "", "family" : "Tom\u00e9", "given" : "Daniel", "non-dropping-particle" : "", "parse-names" : false, "suffix" : "" }, { "dropping-particle" : "", "family" : "Loveren", "given" : "Van", "non-dropping-particle" : "", "parse-names" : false, "suffix" : "" }, { "dropping-particle" : "", "family" : "Vinceti", "given" : "Marco", "non-dropping-particle" : "", "parse-names" : false, "suffix" : "" }, { "dropping-particle" : "", "family" : "Willatts", "given" : "Peter", "non-dropping-particle" : "", "parse-names" : false, "suffix" : "" }, { "dropping-particle" : "", "family" : "Lamberg-", "given" : "Christel", "non-dropping-particle" : "", "parse-names" : false, "suffix" : "" }, { "dropping-particle" : "", "family" : "Przyrembel", "given" : "Hildegard", "non-dropping-particle" : "", "parse-names" : false, "suffix" : "" }, { "dropping-particle" : "", "family" : "Tetens", "given" : "Inge", "non-dropping-particle" : "", "parse-names" : false, "suffix" : "" }, { "dropping-particle" : "", "family" : "Gudelj Rakic", "given" : "Jelena", "non-dropping-particle" : "", "parse-names" : false, "suffix" : "" }, { "dropping-particle" : "", "family" : "Ioannidou", "given" : "Sofia", "non-dropping-particle" : "", "parse-names" : false, "suffix" : "" }, { "dropping-particle" : "", "family" : "Sesmaisons-Lecarr\u00e9", "given" : "Agn\u00e8s", "non-dropping-particle" : "de", "parse-names" : false, "suffix" : "" }, { "dropping-particle" : "", "family" : "Cecilia", "given" : "Annette", "non-dropping-particle" : "", "parse-names" : false, "suffix" : "" }, { "dropping-particle" : "", "family" : "Neuh\u00e4user-Berthold", "given" : "Monika", "non-dropping-particle" : "", "parse-names" : false, "suffix" : "" } ], "container-title" : "EFSA Journal", "id" : "ITEM-1", "issued" : { "date-parts" : [ [ "2016" ] ] }, "title" : "Dietary Reference Values for thiamin EFSA Panel on Dietetic Products, Nutrition and Allergies (NDA), 2", "type" : "article-journal" }, "uris" : [ "http://www.mendeley.com/documents/?uuid=700582d4-2e9c-3ada-88a7-531f63513ca2" ] } ], "mendeley" : { "formattedCitation" : "(2)", "plainTextFormattedCitation" : "(2)", "previouslyFormattedCitation" : "(2)" }, "properties" : { "noteIndex" : 0 }, "schema" : "https://github.com/citation-style-language/schema/raw/master/csl-citation.json" }</w:instrText>
      </w:r>
      <w:r w:rsidR="00F87EB2">
        <w:rPr>
          <w:rFonts w:ascii="Avenir Book" w:hAnsi="Avenir Book" w:cs="Gill Sans"/>
          <w:sz w:val="20"/>
          <w:szCs w:val="20"/>
          <w:lang w:val="es-ES"/>
        </w:rPr>
        <w:fldChar w:fldCharType="separate"/>
      </w:r>
      <w:r w:rsidR="00F87EB2" w:rsidRPr="00F87EB2">
        <w:rPr>
          <w:rFonts w:ascii="Avenir Book" w:hAnsi="Avenir Book" w:cs="Gill Sans"/>
          <w:noProof/>
          <w:sz w:val="20"/>
          <w:szCs w:val="20"/>
          <w:lang w:val="es-ES"/>
        </w:rPr>
        <w:t>(2)</w:t>
      </w:r>
      <w:r w:rsidR="00F87EB2">
        <w:rPr>
          <w:rFonts w:ascii="Avenir Book" w:hAnsi="Avenir Book" w:cs="Gill Sans"/>
          <w:sz w:val="20"/>
          <w:szCs w:val="20"/>
          <w:lang w:val="es-ES"/>
        </w:rPr>
        <w:fldChar w:fldCharType="end"/>
      </w:r>
      <w:r w:rsidR="006339D7">
        <w:rPr>
          <w:rFonts w:ascii="Avenir Book" w:hAnsi="Avenir Book" w:cs="Gill Sans"/>
          <w:sz w:val="20"/>
          <w:szCs w:val="20"/>
          <w:lang w:val="es-ES"/>
        </w:rPr>
        <w:t xml:space="preserve"> y que las reservas orgá</w:t>
      </w:r>
      <w:r w:rsidR="00966FF4">
        <w:rPr>
          <w:rFonts w:ascii="Avenir Book" w:hAnsi="Avenir Book" w:cs="Gill Sans"/>
          <w:sz w:val="20"/>
          <w:szCs w:val="20"/>
          <w:lang w:val="es-ES"/>
        </w:rPr>
        <w:t>nicas son escasas</w:t>
      </w:r>
      <w:r w:rsidR="00F87EB2">
        <w:rPr>
          <w:rFonts w:ascii="Avenir Book" w:hAnsi="Avenir Book" w:cs="Gill Sans"/>
          <w:sz w:val="20"/>
          <w:szCs w:val="20"/>
          <w:lang w:val="es-ES"/>
        </w:rPr>
        <w:t xml:space="preserve">, </w:t>
      </w:r>
      <w:r w:rsidR="002873E9">
        <w:rPr>
          <w:rFonts w:ascii="Avenir Book" w:hAnsi="Avenir Book" w:cs="Gill Sans"/>
          <w:sz w:val="20"/>
          <w:szCs w:val="20"/>
          <w:lang w:val="es-ES"/>
        </w:rPr>
        <w:t>se tendrá que prestar atención a los pacientes con una ingesta baja de este grupo de aliment</w:t>
      </w:r>
      <w:r w:rsidR="00F87EB2">
        <w:rPr>
          <w:rFonts w:ascii="Avenir Book" w:hAnsi="Avenir Book" w:cs="Gill Sans"/>
          <w:sz w:val="20"/>
          <w:szCs w:val="20"/>
          <w:lang w:val="es-ES"/>
        </w:rPr>
        <w:t>o</w:t>
      </w:r>
      <w:r w:rsidR="00966FF4">
        <w:rPr>
          <w:rFonts w:ascii="Avenir Book" w:hAnsi="Avenir Book" w:cs="Gill Sans"/>
          <w:sz w:val="20"/>
          <w:szCs w:val="20"/>
          <w:lang w:val="es-ES"/>
        </w:rPr>
        <w:t>s o</w:t>
      </w:r>
      <w:r w:rsidR="001F6423">
        <w:rPr>
          <w:rFonts w:ascii="Avenir Book" w:hAnsi="Avenir Book" w:cs="Gill Sans"/>
          <w:sz w:val="20"/>
          <w:szCs w:val="20"/>
          <w:lang w:val="es-ES"/>
        </w:rPr>
        <w:t xml:space="preserve"> </w:t>
      </w:r>
      <w:r w:rsidR="002873E9">
        <w:rPr>
          <w:rFonts w:ascii="Avenir Book" w:hAnsi="Avenir Book" w:cs="Gill Sans"/>
          <w:sz w:val="20"/>
          <w:szCs w:val="20"/>
          <w:lang w:val="es-ES"/>
        </w:rPr>
        <w:t>a los que siguen die</w:t>
      </w:r>
      <w:r w:rsidR="001F6423">
        <w:rPr>
          <w:rFonts w:ascii="Avenir Book" w:hAnsi="Avenir Book" w:cs="Gill Sans"/>
          <w:sz w:val="20"/>
          <w:szCs w:val="20"/>
          <w:lang w:val="es-ES"/>
        </w:rPr>
        <w:t>tas muy pob</w:t>
      </w:r>
      <w:r w:rsidR="006339D7">
        <w:rPr>
          <w:rFonts w:ascii="Avenir Book" w:hAnsi="Avenir Book" w:cs="Gill Sans"/>
          <w:sz w:val="20"/>
          <w:szCs w:val="20"/>
          <w:lang w:val="es-ES"/>
        </w:rPr>
        <w:t>res en HC integrales.</w:t>
      </w:r>
    </w:p>
    <w:p w14:paraId="0E12F709" w14:textId="416E7F5F" w:rsidR="0057155E" w:rsidRDefault="007021F4" w:rsidP="0057155E">
      <w:pPr>
        <w:widowControl w:val="0"/>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ab/>
        <w:t>- Los principales grupos de riesgo son: alcohólicos crónicos y personas con enfermedades inflamatorias intestina</w:t>
      </w:r>
      <w:r w:rsidR="001F6423">
        <w:rPr>
          <w:rFonts w:ascii="Avenir Book" w:hAnsi="Avenir Book" w:cs="Gill Sans"/>
          <w:sz w:val="20"/>
          <w:szCs w:val="20"/>
          <w:lang w:val="es-ES"/>
        </w:rPr>
        <w:t xml:space="preserve">les o cirugía bariátrica, situaciones que </w:t>
      </w:r>
      <w:r>
        <w:rPr>
          <w:rFonts w:ascii="Avenir Book" w:hAnsi="Avenir Book" w:cs="Gill Sans"/>
          <w:sz w:val="20"/>
          <w:szCs w:val="20"/>
          <w:lang w:val="es-ES"/>
        </w:rPr>
        <w:t>pueden ir acompañada</w:t>
      </w:r>
      <w:r w:rsidR="0057155E">
        <w:rPr>
          <w:rFonts w:ascii="Avenir Book" w:hAnsi="Avenir Book" w:cs="Gill Sans"/>
          <w:sz w:val="20"/>
          <w:szCs w:val="20"/>
          <w:lang w:val="es-ES"/>
        </w:rPr>
        <w:t>s de problemas de malabsorción de nutrientes.</w:t>
      </w:r>
    </w:p>
    <w:p w14:paraId="12694447" w14:textId="2BF62BE1" w:rsidR="0057155E" w:rsidRDefault="0057155E" w:rsidP="0057155E">
      <w:pPr>
        <w:spacing w:line="276" w:lineRule="auto"/>
        <w:rPr>
          <w:rFonts w:ascii="Avenir Book" w:hAnsi="Avenir Book"/>
          <w:sz w:val="20"/>
          <w:szCs w:val="20"/>
        </w:rPr>
      </w:pPr>
      <w:r>
        <w:rPr>
          <w:rFonts w:ascii="Avenir Book" w:hAnsi="Avenir Book"/>
          <w:sz w:val="20"/>
          <w:szCs w:val="20"/>
        </w:rPr>
        <w:tab/>
        <w:t>- Aunque la vitamina B1 tiene un papel importante en el correcto funcionamiento del sistema nervioso, la administración de suplementos con dosis elevades de vitaminas del grupo B no se recomiendan para la mejoría del humor ni para la prevención o disminución del deterioro cognitivo si no existe una deficiencia</w:t>
      </w:r>
      <w:r w:rsidR="006339D7">
        <w:rPr>
          <w:rFonts w:ascii="Avenir Book" w:hAnsi="Avenir Book"/>
          <w:sz w:val="20"/>
          <w:szCs w:val="20"/>
        </w:rPr>
        <w:t xml:space="preserve"> previa</w:t>
      </w:r>
      <w:bookmarkStart w:id="0" w:name="_GoBack"/>
      <w:bookmarkEnd w:id="0"/>
      <w:r>
        <w:rPr>
          <w:rFonts w:ascii="Avenir Book" w:hAnsi="Avenir Book"/>
          <w:sz w:val="20"/>
          <w:szCs w:val="20"/>
        </w:rPr>
        <w:t xml:space="preserve"> de estas. La recomendación en estos caso tienen que ir dirigida a aconseguir la ingesta de las cantidades de referencia recomendadas para estas vitaminas </w:t>
      </w:r>
      <w:r>
        <w:rPr>
          <w:rFonts w:ascii="Avenir Book" w:hAnsi="Avenir Book"/>
          <w:sz w:val="20"/>
          <w:szCs w:val="20"/>
        </w:rPr>
        <w:fldChar w:fldCharType="begin" w:fldLock="1"/>
      </w:r>
      <w:r>
        <w:rPr>
          <w:rFonts w:ascii="Avenir Book" w:hAnsi="Avenir Book"/>
          <w:sz w:val="20"/>
          <w:szCs w:val="20"/>
        </w:rPr>
        <w:instrText>ADDIN CSL_CITATION { "citationItems" : [ { "id" : "ITEM-1", "itemData" : { "URL" : "http://www.pennutrition.com/KnowledgePathway.aspx?kpid=2541&amp;pqcatid=146&amp;pqid=2363", "accessed" : { "date-parts" : [ [ "2017", "11", "28" ] ] }, "id" : "ITEM-1", "issued" : { "date-parts" : [ [ "0" ] ] }, "title" : "Dietitians of Canada. Does vitamin B supplementation affect cognitive function and mood in healthy older adults or adults with mild to moderate dementia? In: Practice-based Evidence in Nutrition (PEN). 2014 Dic 10 (citado 2017 Nov 28). Disponible en: http://www.pennutrition.com/KnowledgePathway.aspx?kpid=2541&amp;amp;pqcatid=146&amp;amp;pqid=2363", "type" : "webpage" }, "uris" : [ "http://www.mendeley.com/documents/?uuid=6ac45ca9-3742-3e09-a50e-1b70c8fb8431" ] } ], "mendeley" : { "formattedCitation" : "(9)", "plainTextFormattedCitation" : "(9)", "previouslyFormattedCitation" : "(9)" }, "properties" : { "noteIndex" : 0 }, "schema" : "https://github.com/citation-style-language/schema/raw/master/csl-citation.json" }</w:instrText>
      </w:r>
      <w:r>
        <w:rPr>
          <w:rFonts w:ascii="Avenir Book" w:hAnsi="Avenir Book"/>
          <w:sz w:val="20"/>
          <w:szCs w:val="20"/>
        </w:rPr>
        <w:fldChar w:fldCharType="separate"/>
      </w:r>
      <w:r w:rsidRPr="002B4E78">
        <w:rPr>
          <w:rFonts w:ascii="Avenir Book" w:hAnsi="Avenir Book"/>
          <w:noProof/>
          <w:sz w:val="20"/>
          <w:szCs w:val="20"/>
        </w:rPr>
        <w:t>(9)</w:t>
      </w:r>
      <w:r>
        <w:rPr>
          <w:rFonts w:ascii="Avenir Book" w:hAnsi="Avenir Book"/>
          <w:sz w:val="20"/>
          <w:szCs w:val="20"/>
        </w:rPr>
        <w:fldChar w:fldCharType="end"/>
      </w:r>
      <w:r>
        <w:rPr>
          <w:rFonts w:ascii="Avenir Book" w:hAnsi="Avenir Book"/>
          <w:sz w:val="20"/>
          <w:szCs w:val="20"/>
        </w:rPr>
        <w:t>.</w:t>
      </w:r>
    </w:p>
    <w:p w14:paraId="47192D10" w14:textId="77777777" w:rsidR="001F6423" w:rsidRDefault="001F6423" w:rsidP="0057155E">
      <w:pPr>
        <w:spacing w:line="276" w:lineRule="auto"/>
        <w:rPr>
          <w:rFonts w:ascii="Avenir Book" w:hAnsi="Avenir Book"/>
          <w:sz w:val="20"/>
          <w:szCs w:val="20"/>
        </w:rPr>
      </w:pPr>
    </w:p>
    <w:p w14:paraId="6B6D0C8A" w14:textId="77777777" w:rsidR="0057155E" w:rsidRPr="007021F4" w:rsidRDefault="0057155E" w:rsidP="0057155E">
      <w:pPr>
        <w:spacing w:line="276" w:lineRule="auto"/>
        <w:rPr>
          <w:rFonts w:ascii="Avenir Book" w:hAnsi="Avenir Book"/>
          <w:sz w:val="20"/>
          <w:szCs w:val="20"/>
        </w:rPr>
      </w:pPr>
      <w:r>
        <w:rPr>
          <w:rFonts w:ascii="Avenir Book" w:hAnsi="Avenir Book"/>
          <w:sz w:val="20"/>
          <w:szCs w:val="20"/>
        </w:rPr>
        <w:tab/>
        <w:t xml:space="preserve">- </w:t>
      </w:r>
      <w:r w:rsidRPr="007021F4">
        <w:rPr>
          <w:rFonts w:ascii="Avenir Book" w:hAnsi="Avenir Book"/>
          <w:sz w:val="20"/>
          <w:szCs w:val="20"/>
        </w:rPr>
        <w:t xml:space="preserve">Aunque con un grado de evidencia bajo (C), la suplementación con vitaminas del grupo B (150mg/día timaina, 750 </w:t>
      </w:r>
      <w:r w:rsidRPr="007021F4">
        <w:rPr>
          <w:rFonts w:ascii="Avenir Book" w:hAnsi="Avenir Book" w:cs="Lucida Grande"/>
          <w:color w:val="000000"/>
          <w:sz w:val="20"/>
          <w:szCs w:val="20"/>
        </w:rPr>
        <w:t xml:space="preserve">μg/día B12, 120mg/día B6, 15mg/día riboflavina) durante tres meses podría ayudar a aliviar los calambres nocturnos que pueden sufrir las personas mayores con hipertensión </w:t>
      </w:r>
      <w:r w:rsidRPr="007021F4">
        <w:rPr>
          <w:rFonts w:ascii="Avenir Book" w:hAnsi="Avenir Book" w:cs="Lucida Grande"/>
          <w:color w:val="000000"/>
          <w:sz w:val="20"/>
          <w:szCs w:val="20"/>
        </w:rPr>
        <w:fldChar w:fldCharType="begin" w:fldLock="1"/>
      </w:r>
      <w:r>
        <w:rPr>
          <w:rFonts w:ascii="Avenir Book" w:hAnsi="Avenir Book" w:cs="Lucida Grande"/>
          <w:color w:val="000000"/>
          <w:sz w:val="20"/>
          <w:szCs w:val="20"/>
        </w:rPr>
        <w:instrText>ADDIN CSL_CITATION { "citationItems" : [ { "id" : "ITEM-1", "itemData" : { "URL" : "http://www.pennutrition.com/KnowledgePathway.aspx?kpid=6928&amp;pqcatid=146&amp;pqid=6963", "accessed" : { "date-parts" : [ [ "2017", "11", "28" ] ] }, "id" : "ITEM-1", "issued" : { "date-parts" : [ [ "0" ] ] }, "title" : "Dietitians of Canada. Is there a role for vitamins, minerals or water in the prevention or alleviation of muscle cramps? In: Practice-based Evidence in Nutrition (PEN). 2016 Feb 2. Citado 2017 Nov 28. Disponible en: http://www.pennutrition.com/KnowledgePathway.aspx?kpid=6928&amp;amp;pqcatid=146&amp;amp;pqid=6963", "type" : "webpage" }, "uris" : [ "http://www.mendeley.com/documents/?uuid=d401019c-bafb-3e69-819c-fa8f690e38db" ] } ], "mendeley" : { "formattedCitation" : "(10)", "plainTextFormattedCitation" : "(10)", "previouslyFormattedCitation" : "(10)" }, "properties" : { "noteIndex" : 0 }, "schema" : "https://github.com/citation-style-language/schema/raw/master/csl-citation.json" }</w:instrText>
      </w:r>
      <w:r w:rsidRPr="007021F4">
        <w:rPr>
          <w:rFonts w:ascii="Avenir Book" w:hAnsi="Avenir Book" w:cs="Lucida Grande"/>
          <w:color w:val="000000"/>
          <w:sz w:val="20"/>
          <w:szCs w:val="20"/>
        </w:rPr>
        <w:fldChar w:fldCharType="separate"/>
      </w:r>
      <w:r w:rsidRPr="002B4E78">
        <w:rPr>
          <w:rFonts w:ascii="Avenir Book" w:hAnsi="Avenir Book" w:cs="Lucida Grande"/>
          <w:noProof/>
          <w:color w:val="000000"/>
          <w:sz w:val="20"/>
          <w:szCs w:val="20"/>
        </w:rPr>
        <w:t>(10)</w:t>
      </w:r>
      <w:r w:rsidRPr="007021F4">
        <w:rPr>
          <w:rFonts w:ascii="Avenir Book" w:hAnsi="Avenir Book" w:cs="Lucida Grande"/>
          <w:color w:val="000000"/>
          <w:sz w:val="20"/>
          <w:szCs w:val="20"/>
        </w:rPr>
        <w:fldChar w:fldCharType="end"/>
      </w:r>
      <w:r w:rsidRPr="007021F4">
        <w:rPr>
          <w:rFonts w:ascii="Avenir Book" w:hAnsi="Avenir Book" w:cs="Lucida Grande"/>
          <w:color w:val="000000"/>
          <w:sz w:val="20"/>
          <w:szCs w:val="20"/>
        </w:rPr>
        <w:t>.</w:t>
      </w:r>
    </w:p>
    <w:p w14:paraId="5A8744DA" w14:textId="77777777" w:rsidR="0057155E" w:rsidRDefault="0057155E" w:rsidP="006F0EBD">
      <w:pPr>
        <w:widowControl w:val="0"/>
        <w:autoSpaceDE w:val="0"/>
        <w:autoSpaceDN w:val="0"/>
        <w:adjustRightInd w:val="0"/>
        <w:spacing w:after="240"/>
        <w:ind w:left="640" w:hanging="640"/>
        <w:rPr>
          <w:rFonts w:ascii="Avenir Book" w:hAnsi="Avenir Book" w:cs="Gill Sans"/>
          <w:sz w:val="20"/>
          <w:szCs w:val="20"/>
          <w:lang w:val="es-ES"/>
        </w:rPr>
      </w:pPr>
    </w:p>
    <w:p w14:paraId="49422016" w14:textId="5A6D0E5F" w:rsidR="0057155E" w:rsidRPr="0057155E" w:rsidRDefault="0057155E" w:rsidP="0057155E">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5. Bibliografía</w:t>
      </w:r>
    </w:p>
    <w:p w14:paraId="76729E69" w14:textId="7E9E436B"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Pr>
          <w:rFonts w:ascii="Avenir Book" w:hAnsi="Avenir Book" w:cs="Gill Sans"/>
          <w:sz w:val="20"/>
          <w:szCs w:val="20"/>
          <w:lang w:val="es-ES"/>
        </w:rPr>
        <w:fldChar w:fldCharType="begin" w:fldLock="1"/>
      </w:r>
      <w:r>
        <w:rPr>
          <w:rFonts w:ascii="Avenir Book" w:hAnsi="Avenir Book" w:cs="Gill Sans"/>
          <w:sz w:val="20"/>
          <w:szCs w:val="20"/>
          <w:lang w:val="es-ES"/>
        </w:rPr>
        <w:instrText xml:space="preserve">ADDIN Mendeley Bibliography CSL_BIBLIOGRAPHY </w:instrText>
      </w:r>
      <w:r>
        <w:rPr>
          <w:rFonts w:ascii="Avenir Book" w:hAnsi="Avenir Book" w:cs="Gill Sans"/>
          <w:sz w:val="20"/>
          <w:szCs w:val="20"/>
          <w:lang w:val="es-ES"/>
        </w:rPr>
        <w:fldChar w:fldCharType="separate"/>
      </w:r>
      <w:r w:rsidRPr="006F0EBD">
        <w:rPr>
          <w:rFonts w:ascii="Avenir Book" w:hAnsi="Avenir Book"/>
          <w:noProof/>
          <w:sz w:val="20"/>
          <w:lang w:val="es-ES"/>
        </w:rPr>
        <w:t xml:space="preserve">1. </w:t>
      </w:r>
      <w:r w:rsidRPr="006F0EBD">
        <w:rPr>
          <w:rFonts w:ascii="Avenir Book" w:hAnsi="Avenir Book"/>
          <w:noProof/>
          <w:sz w:val="20"/>
          <w:lang w:val="es-ES"/>
        </w:rPr>
        <w:tab/>
        <w:t xml:space="preserve">Sánchez de Medina F. Bases Fisiológicas y Bioquímicas de la Nutrición. </w:t>
      </w:r>
      <w:r w:rsidR="0057155E">
        <w:rPr>
          <w:rFonts w:ascii="Avenir Book" w:hAnsi="Avenir Book"/>
          <w:noProof/>
          <w:sz w:val="20"/>
          <w:lang w:val="es-ES"/>
        </w:rPr>
        <w:t>Tratado de Nutrición.</w:t>
      </w:r>
      <w:r w:rsidRPr="006F0EBD">
        <w:rPr>
          <w:rFonts w:ascii="Avenir Book" w:hAnsi="Avenir Book"/>
          <w:noProof/>
          <w:sz w:val="20"/>
          <w:lang w:val="es-ES"/>
        </w:rPr>
        <w:t xml:space="preserve"> Panamericana Ed, editor.. 2</w:t>
      </w:r>
      <w:r w:rsidRPr="006F0EBD">
        <w:rPr>
          <w:rFonts w:ascii="Avenir Book" w:hAnsi="Avenir Book"/>
          <w:noProof/>
          <w:sz w:val="20"/>
          <w:vertAlign w:val="superscript"/>
          <w:lang w:val="es-ES"/>
        </w:rPr>
        <w:t>a</w:t>
      </w:r>
      <w:r w:rsidRPr="006F0EBD">
        <w:rPr>
          <w:rFonts w:ascii="Avenir Book" w:hAnsi="Avenir Book"/>
          <w:noProof/>
          <w:sz w:val="20"/>
          <w:lang w:val="es-ES"/>
        </w:rPr>
        <w:t xml:space="preserve"> ed. 2010. p. 963. </w:t>
      </w:r>
    </w:p>
    <w:p w14:paraId="2634135D"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2. </w:t>
      </w:r>
      <w:r w:rsidRPr="006F0EBD">
        <w:rPr>
          <w:rFonts w:ascii="Avenir Book" w:hAnsi="Avenir Book"/>
          <w:noProof/>
          <w:sz w:val="20"/>
          <w:lang w:val="es-ES"/>
        </w:rPr>
        <w:tab/>
        <w:t>Turck D, Bresson J-L, Burlingame B, Fairweather-Tait S, Heinonen M, Mangelsdorf I, et al. Dietary Reference Values for thiamin EFSA Panel on Dietetic Products, Nutrition and Allergies (NDA), 2. EFSA J [Internet]. 2016 [cited 2017 Nov 28]; Available from: www.efsa.europa.eu/efsajournal</w:t>
      </w:r>
    </w:p>
    <w:p w14:paraId="36D79BF2"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3. </w:t>
      </w:r>
      <w:r w:rsidRPr="006F0EBD">
        <w:rPr>
          <w:rFonts w:ascii="Avenir Book" w:hAnsi="Avenir Book"/>
          <w:noProof/>
          <w:sz w:val="20"/>
          <w:lang w:val="es-ES"/>
        </w:rPr>
        <w:tab/>
        <w:t>Wax, E RD, The Brooklyn Hospital Center, Brooklyn N. Tiamina: MedlinePlus enciclopedia médica [Internet]. 2017 [cited 2017 Nov 28]. Available from: https://medlineplus.gov/spanish/ency/article/002401.htm</w:t>
      </w:r>
    </w:p>
    <w:p w14:paraId="08865F7F"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4. </w:t>
      </w:r>
      <w:r w:rsidRPr="006F0EBD">
        <w:rPr>
          <w:rFonts w:ascii="Avenir Book" w:hAnsi="Avenir Book"/>
          <w:noProof/>
          <w:sz w:val="20"/>
          <w:lang w:val="es-ES"/>
        </w:rPr>
        <w:tab/>
        <w:t>Capítulo 16: Beriberi y carencia de tiamina [Internet]. [cited 2017 Nov 28]. Available from: http://www.fao.org/docrep/006/w0073s/w0073s0k.htm</w:t>
      </w:r>
    </w:p>
    <w:p w14:paraId="260A30AD"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5. </w:t>
      </w:r>
      <w:r w:rsidRPr="006F0EBD">
        <w:rPr>
          <w:rFonts w:ascii="Avenir Book" w:hAnsi="Avenir Book"/>
          <w:noProof/>
          <w:sz w:val="20"/>
          <w:lang w:val="es-ES"/>
        </w:rPr>
        <w:tab/>
        <w:t>Dietitians of Canada. Alcohol Background. In: Practice-based Evidence in Nutrition (PEN). 2014 Jul 7 (cited 28 Nov 2017). Available from: http://www.pennutrition.com/KnowledgePathway.aspx?kpid=1417&amp;amp;trid=22372&amp;amp;trcatid=38 [Internet]. [cited 2017 Nov 28]. Available from: http://www.pennutrition.com/KnowledgePathway.aspx?kpid=1417&amp;trid=22372&amp;trcatid</w:t>
      </w:r>
      <w:r w:rsidRPr="006F0EBD">
        <w:rPr>
          <w:rFonts w:ascii="Avenir Book" w:hAnsi="Avenir Book"/>
          <w:noProof/>
          <w:sz w:val="20"/>
          <w:lang w:val="es-ES"/>
        </w:rPr>
        <w:lastRenderedPageBreak/>
        <w:t>=38</w:t>
      </w:r>
    </w:p>
    <w:p w14:paraId="6FFA36C2"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6. </w:t>
      </w:r>
      <w:r w:rsidRPr="006F0EBD">
        <w:rPr>
          <w:rFonts w:ascii="Avenir Book" w:hAnsi="Avenir Book"/>
          <w:noProof/>
          <w:sz w:val="20"/>
          <w:lang w:val="es-ES"/>
        </w:rPr>
        <w:tab/>
        <w:t xml:space="preserve">Cuervo M, Abete I, Baladia E, Corbalán M, Manera M, Basulto J, et al. Ingestas Dietéticas de Referencia (IDR) para la población española FESNAD-2010. 2010. </w:t>
      </w:r>
    </w:p>
    <w:p w14:paraId="6D13AF7A"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7. </w:t>
      </w:r>
      <w:r w:rsidRPr="006F0EBD">
        <w:rPr>
          <w:rFonts w:ascii="Avenir Book" w:hAnsi="Avenir Book"/>
          <w:noProof/>
          <w:sz w:val="20"/>
          <w:lang w:val="es-ES"/>
        </w:rPr>
        <w:tab/>
        <w:t>Institute of Medicine (U.S.). Standing Committee on the Scientific Evaluation of Dietary Reference Intakes., Institute of Medicine (U.S.). Panel on Folate OBV, Institute of Medicine (U.S.). Subcommittee on Upper Reference Levels of Nutrients. Dietary reference intakes for thiamin, riboflavin, niacin, vitamin B</w:t>
      </w:r>
      <w:r w:rsidRPr="006F0EBD">
        <w:rPr>
          <w:rFonts w:ascii="Palatino" w:hAnsi="Palatino" w:cs="Palatino"/>
          <w:noProof/>
          <w:sz w:val="20"/>
          <w:lang w:val="es-ES"/>
        </w:rPr>
        <w:t>₆</w:t>
      </w:r>
      <w:r w:rsidRPr="006F0EBD">
        <w:rPr>
          <w:rFonts w:ascii="Avenir Book" w:hAnsi="Avenir Book"/>
          <w:noProof/>
          <w:sz w:val="20"/>
          <w:lang w:val="es-ES"/>
        </w:rPr>
        <w:t>, folate, vitamin B</w:t>
      </w:r>
      <w:r w:rsidRPr="006F0EBD">
        <w:rPr>
          <w:rFonts w:ascii="Palatino" w:hAnsi="Palatino" w:cs="Palatino"/>
          <w:noProof/>
          <w:sz w:val="20"/>
          <w:lang w:val="es-ES"/>
        </w:rPr>
        <w:t>₁₂</w:t>
      </w:r>
      <w:r w:rsidRPr="006F0EBD">
        <w:rPr>
          <w:rFonts w:ascii="Avenir Book" w:hAnsi="Avenir Book"/>
          <w:noProof/>
          <w:sz w:val="20"/>
          <w:lang w:val="es-ES"/>
        </w:rPr>
        <w:t xml:space="preserve">, pantothenic acid, biotin, and choline. National Academy Press; 1998. 564 p. </w:t>
      </w:r>
    </w:p>
    <w:p w14:paraId="273FD707"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8. </w:t>
      </w:r>
      <w:r w:rsidRPr="006F0EBD">
        <w:rPr>
          <w:rFonts w:ascii="Avenir Book" w:hAnsi="Avenir Book"/>
          <w:noProof/>
          <w:sz w:val="20"/>
          <w:lang w:val="es-ES"/>
        </w:rPr>
        <w:tab/>
        <w:t>Food Sources of Thiamin (Vitamin B1) How Much Thiamin Should I Aim For? Thiamin Content of Some Common Foods. 2016 [cited 2017 Nov 28]; Available from: http://www.pennutrition.com/viewhandout.aspx?Portal=VLub&amp;id=JMHsWAI=&amp;PreviewHandout=bA==</w:t>
      </w:r>
    </w:p>
    <w:p w14:paraId="5728FD2F"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lang w:val="es-ES"/>
        </w:rPr>
      </w:pPr>
      <w:r w:rsidRPr="006F0EBD">
        <w:rPr>
          <w:rFonts w:ascii="Avenir Book" w:hAnsi="Avenir Book"/>
          <w:noProof/>
          <w:sz w:val="20"/>
          <w:lang w:val="es-ES"/>
        </w:rPr>
        <w:t xml:space="preserve">9. </w:t>
      </w:r>
      <w:r w:rsidRPr="006F0EBD">
        <w:rPr>
          <w:rFonts w:ascii="Avenir Book" w:hAnsi="Avenir Book"/>
          <w:noProof/>
          <w:sz w:val="20"/>
          <w:lang w:val="es-ES"/>
        </w:rPr>
        <w:tab/>
        <w:t>Dietitians of Canada. Does vitamin B supplementation affect cognitive function and mood in healthy older adults or adults with mild to moderate dementia? In: Practice-based Evidence in Nutrition (PEN). 2014 Dic 10 (citado 2017 Nov 28). Disponible en: http://www.pennutrition.com/KnowledgePathway.aspx?kpid=2541&amp;amp;pqcatid=146&amp;amp;pqid=2363 [Internet]. [cited 2017 Nov 28]. Available from: http://www.pennutrition.com/KnowledgePathway.aspx?kpid=2541&amp;pqcatid=146&amp;pqid=2363</w:t>
      </w:r>
    </w:p>
    <w:p w14:paraId="5A85E584" w14:textId="77777777" w:rsidR="006F0EBD" w:rsidRPr="006F0EBD" w:rsidRDefault="006F0EBD" w:rsidP="006F0EBD">
      <w:pPr>
        <w:widowControl w:val="0"/>
        <w:autoSpaceDE w:val="0"/>
        <w:autoSpaceDN w:val="0"/>
        <w:adjustRightInd w:val="0"/>
        <w:spacing w:after="240"/>
        <w:ind w:left="640" w:hanging="640"/>
        <w:rPr>
          <w:rFonts w:ascii="Avenir Book" w:hAnsi="Avenir Book"/>
          <w:noProof/>
          <w:sz w:val="20"/>
        </w:rPr>
      </w:pPr>
      <w:r w:rsidRPr="006F0EBD">
        <w:rPr>
          <w:rFonts w:ascii="Avenir Book" w:hAnsi="Avenir Book"/>
          <w:noProof/>
          <w:sz w:val="20"/>
          <w:lang w:val="es-ES"/>
        </w:rPr>
        <w:t xml:space="preserve">10. </w:t>
      </w:r>
      <w:r w:rsidRPr="006F0EBD">
        <w:rPr>
          <w:rFonts w:ascii="Avenir Book" w:hAnsi="Avenir Book"/>
          <w:noProof/>
          <w:sz w:val="20"/>
          <w:lang w:val="es-ES"/>
        </w:rPr>
        <w:tab/>
        <w:t>Dietitians of Canada. Is there a role for vitamins, minerals or water in the prevention or alleviation of muscle cramps? In: Practice-based Evidence in Nutrition (PEN). 2016 Feb 2. Citado 2017 Nov 28. Disponible en: http://www.pennutrition.com/KnowledgePathway.aspx?kpid=6928&amp;amp;pqcatid=146&amp;amp;pqid=6963 [Internet]. [cited 2017 Nov 28]. Available from: http://www.pennutrition.com/KnowledgePathway.aspx?kpid=6928&amp;pqcatid=146&amp;pqid=6963</w:t>
      </w:r>
    </w:p>
    <w:p w14:paraId="19BEF601" w14:textId="43EC5F44" w:rsidR="007021F4" w:rsidRDefault="006F0EBD" w:rsidP="00F87EB2">
      <w:pPr>
        <w:widowControl w:val="0"/>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fldChar w:fldCharType="end"/>
      </w:r>
    </w:p>
    <w:p w14:paraId="6CF1658A" w14:textId="29F3C848" w:rsidR="007021F4" w:rsidRPr="007021F4" w:rsidRDefault="007021F4" w:rsidP="006F0EBD">
      <w:pPr>
        <w:spacing w:line="276" w:lineRule="auto"/>
        <w:rPr>
          <w:rFonts w:ascii="Avenir Book" w:hAnsi="Avenir Book"/>
          <w:sz w:val="20"/>
          <w:szCs w:val="20"/>
        </w:rPr>
      </w:pPr>
      <w:r>
        <w:rPr>
          <w:rFonts w:ascii="Avenir Book" w:hAnsi="Avenir Book"/>
          <w:sz w:val="20"/>
          <w:szCs w:val="20"/>
        </w:rPr>
        <w:tab/>
      </w:r>
    </w:p>
    <w:p w14:paraId="3BB1B8F4" w14:textId="77777777" w:rsidR="001F1E5B" w:rsidRPr="003067E0" w:rsidRDefault="001F1E5B" w:rsidP="003067E0">
      <w:pPr>
        <w:spacing w:line="276" w:lineRule="auto"/>
        <w:rPr>
          <w:rFonts w:ascii="Avenir Book" w:hAnsi="Avenir Book" w:cs="Arial"/>
          <w:sz w:val="20"/>
          <w:szCs w:val="20"/>
        </w:rPr>
      </w:pPr>
    </w:p>
    <w:p w14:paraId="24866105" w14:textId="77777777" w:rsidR="009D094C" w:rsidRDefault="009D094C" w:rsidP="008D39BA">
      <w:pPr>
        <w:widowControl w:val="0"/>
        <w:autoSpaceDE w:val="0"/>
        <w:autoSpaceDN w:val="0"/>
        <w:adjustRightInd w:val="0"/>
        <w:spacing w:after="240"/>
        <w:rPr>
          <w:rFonts w:ascii="Avenir Book" w:hAnsi="Avenir Book" w:cs="Arial"/>
          <w:sz w:val="20"/>
          <w:szCs w:val="20"/>
        </w:rPr>
      </w:pPr>
    </w:p>
    <w:p w14:paraId="5DF46750" w14:textId="0B184753" w:rsidR="003067E0" w:rsidRPr="008D39BA" w:rsidRDefault="003067E0" w:rsidP="008D39BA">
      <w:pPr>
        <w:widowControl w:val="0"/>
        <w:autoSpaceDE w:val="0"/>
        <w:autoSpaceDN w:val="0"/>
        <w:adjustRightInd w:val="0"/>
        <w:spacing w:after="240"/>
        <w:rPr>
          <w:rFonts w:ascii="Avenir Book" w:hAnsi="Avenir Book" w:cs="Arial"/>
          <w:sz w:val="20"/>
          <w:szCs w:val="20"/>
        </w:rPr>
      </w:pPr>
    </w:p>
    <w:sectPr w:rsidR="003067E0" w:rsidRPr="008D39BA" w:rsidSect="00E3623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altName w:val="Corbel"/>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5B6"/>
    <w:multiLevelType w:val="hybridMultilevel"/>
    <w:tmpl w:val="40F0BE04"/>
    <w:lvl w:ilvl="0" w:tplc="BF440BB4">
      <w:start w:val="2"/>
      <w:numFmt w:val="bullet"/>
      <w:lvlText w:val="-"/>
      <w:lvlJc w:val="left"/>
      <w:pPr>
        <w:ind w:left="1060" w:hanging="360"/>
      </w:pPr>
      <w:rPr>
        <w:rFonts w:ascii="Avenir Book" w:eastAsiaTheme="minorEastAsia" w:hAnsi="Avenir Book" w:cs="Arial"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
    <w:nsid w:val="233D26D9"/>
    <w:multiLevelType w:val="multilevel"/>
    <w:tmpl w:val="40F0BE04"/>
    <w:lvl w:ilvl="0">
      <w:start w:val="2"/>
      <w:numFmt w:val="bullet"/>
      <w:lvlText w:val="-"/>
      <w:lvlJc w:val="left"/>
      <w:pPr>
        <w:ind w:left="1060" w:hanging="360"/>
      </w:pPr>
      <w:rPr>
        <w:rFonts w:ascii="Avenir Book" w:eastAsiaTheme="minorEastAsia" w:hAnsi="Avenir Book" w:cs="Arial" w:hint="default"/>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2">
    <w:nsid w:val="57D7216D"/>
    <w:multiLevelType w:val="hybridMultilevel"/>
    <w:tmpl w:val="BE241626"/>
    <w:lvl w:ilvl="0" w:tplc="3DD0A202">
      <w:start w:val="5"/>
      <w:numFmt w:val="bullet"/>
      <w:lvlText w:val="-"/>
      <w:lvlJc w:val="left"/>
      <w:pPr>
        <w:ind w:left="720" w:hanging="360"/>
      </w:pPr>
      <w:rPr>
        <w:rFonts w:ascii="Avenir Book" w:eastAsiaTheme="minorEastAsia" w:hAnsi="Avenir Book"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AB1531A"/>
    <w:multiLevelType w:val="hybridMultilevel"/>
    <w:tmpl w:val="8E967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B0377BB"/>
    <w:multiLevelType w:val="hybridMultilevel"/>
    <w:tmpl w:val="E736C11E"/>
    <w:lvl w:ilvl="0" w:tplc="3D8A2872">
      <w:start w:val="3"/>
      <w:numFmt w:val="bullet"/>
      <w:lvlText w:val="-"/>
      <w:lvlJc w:val="left"/>
      <w:pPr>
        <w:ind w:left="720" w:hanging="360"/>
      </w:pPr>
      <w:rPr>
        <w:rFonts w:ascii="Avenir Book" w:eastAsiaTheme="minorEastAsia" w:hAnsi="Avenir Book"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3"/>
    <w:rsid w:val="0000094F"/>
    <w:rsid w:val="00002780"/>
    <w:rsid w:val="00016B86"/>
    <w:rsid w:val="00023401"/>
    <w:rsid w:val="00034816"/>
    <w:rsid w:val="00046AD2"/>
    <w:rsid w:val="0006021C"/>
    <w:rsid w:val="00062EAF"/>
    <w:rsid w:val="000975CA"/>
    <w:rsid w:val="000A1D0C"/>
    <w:rsid w:val="000A3069"/>
    <w:rsid w:val="000A56A4"/>
    <w:rsid w:val="000B7FD1"/>
    <w:rsid w:val="000C78A2"/>
    <w:rsid w:val="000D4ADD"/>
    <w:rsid w:val="000E040C"/>
    <w:rsid w:val="000F0545"/>
    <w:rsid w:val="00140554"/>
    <w:rsid w:val="001434CF"/>
    <w:rsid w:val="00153328"/>
    <w:rsid w:val="00163AE4"/>
    <w:rsid w:val="00170D09"/>
    <w:rsid w:val="00172678"/>
    <w:rsid w:val="00176738"/>
    <w:rsid w:val="00184D0A"/>
    <w:rsid w:val="001A3DF2"/>
    <w:rsid w:val="001A7A49"/>
    <w:rsid w:val="001C52E4"/>
    <w:rsid w:val="001D13FF"/>
    <w:rsid w:val="001E175D"/>
    <w:rsid w:val="001E5D5C"/>
    <w:rsid w:val="001F1E5B"/>
    <w:rsid w:val="001F6423"/>
    <w:rsid w:val="00244C99"/>
    <w:rsid w:val="00255F88"/>
    <w:rsid w:val="00260C44"/>
    <w:rsid w:val="0026365E"/>
    <w:rsid w:val="00264FD0"/>
    <w:rsid w:val="002774BA"/>
    <w:rsid w:val="002807E9"/>
    <w:rsid w:val="00280CBE"/>
    <w:rsid w:val="002868D8"/>
    <w:rsid w:val="002873E9"/>
    <w:rsid w:val="002A3636"/>
    <w:rsid w:val="002B4E78"/>
    <w:rsid w:val="002C0BE3"/>
    <w:rsid w:val="002D31DF"/>
    <w:rsid w:val="002F2D62"/>
    <w:rsid w:val="003067E0"/>
    <w:rsid w:val="003075B6"/>
    <w:rsid w:val="003173DB"/>
    <w:rsid w:val="00327B54"/>
    <w:rsid w:val="00334E1F"/>
    <w:rsid w:val="003420DF"/>
    <w:rsid w:val="00346294"/>
    <w:rsid w:val="003646EA"/>
    <w:rsid w:val="00384628"/>
    <w:rsid w:val="00391E43"/>
    <w:rsid w:val="003937D0"/>
    <w:rsid w:val="003A4E08"/>
    <w:rsid w:val="003C1083"/>
    <w:rsid w:val="003D2C44"/>
    <w:rsid w:val="003D598F"/>
    <w:rsid w:val="003E5719"/>
    <w:rsid w:val="0040745D"/>
    <w:rsid w:val="004324D6"/>
    <w:rsid w:val="00456D92"/>
    <w:rsid w:val="004910A3"/>
    <w:rsid w:val="004A292D"/>
    <w:rsid w:val="004C0936"/>
    <w:rsid w:val="004C6E4F"/>
    <w:rsid w:val="004D2070"/>
    <w:rsid w:val="004E099D"/>
    <w:rsid w:val="004E2A89"/>
    <w:rsid w:val="004E7036"/>
    <w:rsid w:val="004F2171"/>
    <w:rsid w:val="004F71EE"/>
    <w:rsid w:val="005014E2"/>
    <w:rsid w:val="005167DE"/>
    <w:rsid w:val="00533C48"/>
    <w:rsid w:val="005355FC"/>
    <w:rsid w:val="005364A9"/>
    <w:rsid w:val="00554854"/>
    <w:rsid w:val="0057155E"/>
    <w:rsid w:val="00573F03"/>
    <w:rsid w:val="00590EE3"/>
    <w:rsid w:val="005B030C"/>
    <w:rsid w:val="005B0663"/>
    <w:rsid w:val="005B3DA1"/>
    <w:rsid w:val="005B5F1D"/>
    <w:rsid w:val="005E3AA7"/>
    <w:rsid w:val="005F5009"/>
    <w:rsid w:val="006339D7"/>
    <w:rsid w:val="006558E2"/>
    <w:rsid w:val="0066155C"/>
    <w:rsid w:val="00665C9D"/>
    <w:rsid w:val="00683BC8"/>
    <w:rsid w:val="006857A6"/>
    <w:rsid w:val="00687ABE"/>
    <w:rsid w:val="006979D0"/>
    <w:rsid w:val="006A3EAB"/>
    <w:rsid w:val="006D2A0B"/>
    <w:rsid w:val="006D4F6D"/>
    <w:rsid w:val="006E1CBF"/>
    <w:rsid w:val="006E44EB"/>
    <w:rsid w:val="006E45F4"/>
    <w:rsid w:val="006F0EBD"/>
    <w:rsid w:val="007021F4"/>
    <w:rsid w:val="007042DF"/>
    <w:rsid w:val="0071012E"/>
    <w:rsid w:val="007658E3"/>
    <w:rsid w:val="0078587B"/>
    <w:rsid w:val="00791D60"/>
    <w:rsid w:val="007A4E5F"/>
    <w:rsid w:val="007E2525"/>
    <w:rsid w:val="007F1B96"/>
    <w:rsid w:val="008060B0"/>
    <w:rsid w:val="00806987"/>
    <w:rsid w:val="008411D0"/>
    <w:rsid w:val="008429AD"/>
    <w:rsid w:val="008445AA"/>
    <w:rsid w:val="00855D65"/>
    <w:rsid w:val="008562BF"/>
    <w:rsid w:val="008724C9"/>
    <w:rsid w:val="00875C2C"/>
    <w:rsid w:val="0087747D"/>
    <w:rsid w:val="0089760F"/>
    <w:rsid w:val="008B28F6"/>
    <w:rsid w:val="008C60F7"/>
    <w:rsid w:val="008D39BA"/>
    <w:rsid w:val="008E020F"/>
    <w:rsid w:val="008F1A56"/>
    <w:rsid w:val="008F3A5F"/>
    <w:rsid w:val="00915E82"/>
    <w:rsid w:val="009208BB"/>
    <w:rsid w:val="00930437"/>
    <w:rsid w:val="00936C01"/>
    <w:rsid w:val="00942684"/>
    <w:rsid w:val="00956D11"/>
    <w:rsid w:val="00966FF4"/>
    <w:rsid w:val="009701D3"/>
    <w:rsid w:val="00977C70"/>
    <w:rsid w:val="00997721"/>
    <w:rsid w:val="009A0F8A"/>
    <w:rsid w:val="009A6543"/>
    <w:rsid w:val="009B2BE8"/>
    <w:rsid w:val="009D094C"/>
    <w:rsid w:val="009D1740"/>
    <w:rsid w:val="009E62C5"/>
    <w:rsid w:val="009F5D18"/>
    <w:rsid w:val="00A058DF"/>
    <w:rsid w:val="00A101AE"/>
    <w:rsid w:val="00A21B94"/>
    <w:rsid w:val="00A51383"/>
    <w:rsid w:val="00A5490C"/>
    <w:rsid w:val="00A55801"/>
    <w:rsid w:val="00A644D6"/>
    <w:rsid w:val="00A83899"/>
    <w:rsid w:val="00A84680"/>
    <w:rsid w:val="00A8740D"/>
    <w:rsid w:val="00A942AA"/>
    <w:rsid w:val="00A954D8"/>
    <w:rsid w:val="00AA3150"/>
    <w:rsid w:val="00AB47A3"/>
    <w:rsid w:val="00AC359C"/>
    <w:rsid w:val="00AC5391"/>
    <w:rsid w:val="00AC6F2E"/>
    <w:rsid w:val="00AD0511"/>
    <w:rsid w:val="00AF0BD8"/>
    <w:rsid w:val="00B038F7"/>
    <w:rsid w:val="00B6447D"/>
    <w:rsid w:val="00B670EE"/>
    <w:rsid w:val="00B71C4D"/>
    <w:rsid w:val="00B73168"/>
    <w:rsid w:val="00B902ED"/>
    <w:rsid w:val="00B93A38"/>
    <w:rsid w:val="00BA512F"/>
    <w:rsid w:val="00BB1A16"/>
    <w:rsid w:val="00BC603D"/>
    <w:rsid w:val="00BE3DB8"/>
    <w:rsid w:val="00C20AE2"/>
    <w:rsid w:val="00C23174"/>
    <w:rsid w:val="00C26A8C"/>
    <w:rsid w:val="00C36879"/>
    <w:rsid w:val="00C451CE"/>
    <w:rsid w:val="00C977EC"/>
    <w:rsid w:val="00CA119F"/>
    <w:rsid w:val="00CA6786"/>
    <w:rsid w:val="00CB463D"/>
    <w:rsid w:val="00CB636F"/>
    <w:rsid w:val="00CC528D"/>
    <w:rsid w:val="00CC6BB8"/>
    <w:rsid w:val="00CD14FA"/>
    <w:rsid w:val="00CE14A6"/>
    <w:rsid w:val="00CE5921"/>
    <w:rsid w:val="00D251C0"/>
    <w:rsid w:val="00D42FB8"/>
    <w:rsid w:val="00D6224A"/>
    <w:rsid w:val="00D62F34"/>
    <w:rsid w:val="00D7497C"/>
    <w:rsid w:val="00D875D8"/>
    <w:rsid w:val="00DA587A"/>
    <w:rsid w:val="00DF1AD0"/>
    <w:rsid w:val="00E14D63"/>
    <w:rsid w:val="00E36231"/>
    <w:rsid w:val="00E44CFC"/>
    <w:rsid w:val="00E6306B"/>
    <w:rsid w:val="00E632A3"/>
    <w:rsid w:val="00E651AC"/>
    <w:rsid w:val="00E81491"/>
    <w:rsid w:val="00E91433"/>
    <w:rsid w:val="00EA589F"/>
    <w:rsid w:val="00EA5BE4"/>
    <w:rsid w:val="00EB7557"/>
    <w:rsid w:val="00EC0FBD"/>
    <w:rsid w:val="00EC31A7"/>
    <w:rsid w:val="00EC3B22"/>
    <w:rsid w:val="00EE7C5F"/>
    <w:rsid w:val="00F14E79"/>
    <w:rsid w:val="00F2569B"/>
    <w:rsid w:val="00F50FD4"/>
    <w:rsid w:val="00F569BB"/>
    <w:rsid w:val="00F700D9"/>
    <w:rsid w:val="00F87EB2"/>
    <w:rsid w:val="00F957A7"/>
    <w:rsid w:val="00FA6851"/>
    <w:rsid w:val="00FD0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F6B0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4">
    <w:name w:val="heading 4"/>
    <w:basedOn w:val="Normal"/>
    <w:link w:val="Ttulo4Car"/>
    <w:uiPriority w:val="9"/>
    <w:qFormat/>
    <w:rsid w:val="00977C70"/>
    <w:pPr>
      <w:spacing w:before="100" w:beforeAutospacing="1" w:after="100" w:afterAutospacing="1"/>
      <w:outlineLvl w:val="3"/>
    </w:pPr>
    <w:rPr>
      <w:rFonts w:ascii="Times" w:hAnsi="Time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4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857A6"/>
    <w:pPr>
      <w:ind w:left="720"/>
      <w:contextualSpacing/>
    </w:pPr>
  </w:style>
  <w:style w:type="paragraph" w:styleId="Textodeglobo">
    <w:name w:val="Balloon Text"/>
    <w:basedOn w:val="Normal"/>
    <w:link w:val="TextodegloboCar"/>
    <w:uiPriority w:val="99"/>
    <w:semiHidden/>
    <w:unhideWhenUsed/>
    <w:rsid w:val="003173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73DB"/>
    <w:rPr>
      <w:rFonts w:ascii="Lucida Grande" w:hAnsi="Lucida Grande" w:cs="Lucida Grande"/>
      <w:sz w:val="18"/>
      <w:szCs w:val="18"/>
      <w:lang w:val="ca-ES"/>
    </w:rPr>
  </w:style>
  <w:style w:type="character" w:styleId="Hipervnculo">
    <w:name w:val="Hyperlink"/>
    <w:basedOn w:val="Fuentedeprrafopredeter"/>
    <w:uiPriority w:val="99"/>
    <w:semiHidden/>
    <w:unhideWhenUsed/>
    <w:rsid w:val="00B6447D"/>
    <w:rPr>
      <w:color w:val="0000FF"/>
      <w:u w:val="single"/>
    </w:rPr>
  </w:style>
  <w:style w:type="paragraph" w:styleId="NormalWeb">
    <w:name w:val="Normal (Web)"/>
    <w:basedOn w:val="Normal"/>
    <w:uiPriority w:val="99"/>
    <w:semiHidden/>
    <w:unhideWhenUsed/>
    <w:rsid w:val="00D42FB8"/>
    <w:pPr>
      <w:spacing w:before="100" w:beforeAutospacing="1" w:after="100" w:afterAutospacing="1"/>
    </w:pPr>
    <w:rPr>
      <w:rFonts w:ascii="Times" w:hAnsi="Times" w:cs="Times New Roman"/>
      <w:sz w:val="20"/>
      <w:szCs w:val="20"/>
    </w:rPr>
  </w:style>
  <w:style w:type="character" w:customStyle="1" w:styleId="Ttulo4Car">
    <w:name w:val="Título 4 Car"/>
    <w:basedOn w:val="Fuentedeprrafopredeter"/>
    <w:link w:val="Ttulo4"/>
    <w:uiPriority w:val="9"/>
    <w:rsid w:val="00977C70"/>
    <w:rPr>
      <w:rFonts w:ascii="Times" w:hAnsi="Times"/>
      <w:b/>
      <w:bCs/>
      <w:lang w:val="ca-ES"/>
    </w:rPr>
  </w:style>
  <w:style w:type="paragraph" w:customStyle="1" w:styleId="sub-text">
    <w:name w:val="sub-text"/>
    <w:basedOn w:val="Normal"/>
    <w:rsid w:val="00977C70"/>
    <w:pPr>
      <w:spacing w:before="100" w:beforeAutospacing="1" w:after="100" w:afterAutospacing="1"/>
    </w:pPr>
    <w:rPr>
      <w:rFonts w:ascii="Times" w:hAnsi="Times"/>
      <w:sz w:val="20"/>
      <w:szCs w:val="20"/>
    </w:rPr>
  </w:style>
  <w:style w:type="character" w:customStyle="1" w:styleId="tip">
    <w:name w:val="tip"/>
    <w:basedOn w:val="Fuentedeprrafopredeter"/>
    <w:rsid w:val="00977C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4">
    <w:name w:val="heading 4"/>
    <w:basedOn w:val="Normal"/>
    <w:link w:val="Ttulo4Car"/>
    <w:uiPriority w:val="9"/>
    <w:qFormat/>
    <w:rsid w:val="00977C70"/>
    <w:pPr>
      <w:spacing w:before="100" w:beforeAutospacing="1" w:after="100" w:afterAutospacing="1"/>
      <w:outlineLvl w:val="3"/>
    </w:pPr>
    <w:rPr>
      <w:rFonts w:ascii="Times" w:hAnsi="Time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4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857A6"/>
    <w:pPr>
      <w:ind w:left="720"/>
      <w:contextualSpacing/>
    </w:pPr>
  </w:style>
  <w:style w:type="paragraph" w:styleId="Textodeglobo">
    <w:name w:val="Balloon Text"/>
    <w:basedOn w:val="Normal"/>
    <w:link w:val="TextodegloboCar"/>
    <w:uiPriority w:val="99"/>
    <w:semiHidden/>
    <w:unhideWhenUsed/>
    <w:rsid w:val="003173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73DB"/>
    <w:rPr>
      <w:rFonts w:ascii="Lucida Grande" w:hAnsi="Lucida Grande" w:cs="Lucida Grande"/>
      <w:sz w:val="18"/>
      <w:szCs w:val="18"/>
      <w:lang w:val="ca-ES"/>
    </w:rPr>
  </w:style>
  <w:style w:type="character" w:styleId="Hipervnculo">
    <w:name w:val="Hyperlink"/>
    <w:basedOn w:val="Fuentedeprrafopredeter"/>
    <w:uiPriority w:val="99"/>
    <w:semiHidden/>
    <w:unhideWhenUsed/>
    <w:rsid w:val="00B6447D"/>
    <w:rPr>
      <w:color w:val="0000FF"/>
      <w:u w:val="single"/>
    </w:rPr>
  </w:style>
  <w:style w:type="paragraph" w:styleId="NormalWeb">
    <w:name w:val="Normal (Web)"/>
    <w:basedOn w:val="Normal"/>
    <w:uiPriority w:val="99"/>
    <w:semiHidden/>
    <w:unhideWhenUsed/>
    <w:rsid w:val="00D42FB8"/>
    <w:pPr>
      <w:spacing w:before="100" w:beforeAutospacing="1" w:after="100" w:afterAutospacing="1"/>
    </w:pPr>
    <w:rPr>
      <w:rFonts w:ascii="Times" w:hAnsi="Times" w:cs="Times New Roman"/>
      <w:sz w:val="20"/>
      <w:szCs w:val="20"/>
    </w:rPr>
  </w:style>
  <w:style w:type="character" w:customStyle="1" w:styleId="Ttulo4Car">
    <w:name w:val="Título 4 Car"/>
    <w:basedOn w:val="Fuentedeprrafopredeter"/>
    <w:link w:val="Ttulo4"/>
    <w:uiPriority w:val="9"/>
    <w:rsid w:val="00977C70"/>
    <w:rPr>
      <w:rFonts w:ascii="Times" w:hAnsi="Times"/>
      <w:b/>
      <w:bCs/>
      <w:lang w:val="ca-ES"/>
    </w:rPr>
  </w:style>
  <w:style w:type="paragraph" w:customStyle="1" w:styleId="sub-text">
    <w:name w:val="sub-text"/>
    <w:basedOn w:val="Normal"/>
    <w:rsid w:val="00977C70"/>
    <w:pPr>
      <w:spacing w:before="100" w:beforeAutospacing="1" w:after="100" w:afterAutospacing="1"/>
    </w:pPr>
    <w:rPr>
      <w:rFonts w:ascii="Times" w:hAnsi="Times"/>
      <w:sz w:val="20"/>
      <w:szCs w:val="20"/>
    </w:rPr>
  </w:style>
  <w:style w:type="character" w:customStyle="1" w:styleId="tip">
    <w:name w:val="tip"/>
    <w:basedOn w:val="Fuentedeprrafopredeter"/>
    <w:rsid w:val="0097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712">
      <w:bodyDiv w:val="1"/>
      <w:marLeft w:val="0"/>
      <w:marRight w:val="0"/>
      <w:marTop w:val="0"/>
      <w:marBottom w:val="0"/>
      <w:divBdr>
        <w:top w:val="none" w:sz="0" w:space="0" w:color="auto"/>
        <w:left w:val="none" w:sz="0" w:space="0" w:color="auto"/>
        <w:bottom w:val="none" w:sz="0" w:space="0" w:color="auto"/>
        <w:right w:val="none" w:sz="0" w:space="0" w:color="auto"/>
      </w:divBdr>
    </w:div>
    <w:div w:id="69815483">
      <w:bodyDiv w:val="1"/>
      <w:marLeft w:val="0"/>
      <w:marRight w:val="0"/>
      <w:marTop w:val="0"/>
      <w:marBottom w:val="0"/>
      <w:divBdr>
        <w:top w:val="none" w:sz="0" w:space="0" w:color="auto"/>
        <w:left w:val="none" w:sz="0" w:space="0" w:color="auto"/>
        <w:bottom w:val="none" w:sz="0" w:space="0" w:color="auto"/>
        <w:right w:val="none" w:sz="0" w:space="0" w:color="auto"/>
      </w:divBdr>
    </w:div>
    <w:div w:id="75367713">
      <w:bodyDiv w:val="1"/>
      <w:marLeft w:val="0"/>
      <w:marRight w:val="0"/>
      <w:marTop w:val="0"/>
      <w:marBottom w:val="0"/>
      <w:divBdr>
        <w:top w:val="none" w:sz="0" w:space="0" w:color="auto"/>
        <w:left w:val="none" w:sz="0" w:space="0" w:color="auto"/>
        <w:bottom w:val="none" w:sz="0" w:space="0" w:color="auto"/>
        <w:right w:val="none" w:sz="0" w:space="0" w:color="auto"/>
      </w:divBdr>
      <w:divsChild>
        <w:div w:id="702755940">
          <w:marLeft w:val="0"/>
          <w:marRight w:val="0"/>
          <w:marTop w:val="0"/>
          <w:marBottom w:val="0"/>
          <w:divBdr>
            <w:top w:val="none" w:sz="0" w:space="0" w:color="auto"/>
            <w:left w:val="none" w:sz="0" w:space="0" w:color="auto"/>
            <w:bottom w:val="none" w:sz="0" w:space="0" w:color="auto"/>
            <w:right w:val="none" w:sz="0" w:space="0" w:color="auto"/>
          </w:divBdr>
        </w:div>
      </w:divsChild>
    </w:div>
    <w:div w:id="279920759">
      <w:bodyDiv w:val="1"/>
      <w:marLeft w:val="0"/>
      <w:marRight w:val="0"/>
      <w:marTop w:val="0"/>
      <w:marBottom w:val="0"/>
      <w:divBdr>
        <w:top w:val="none" w:sz="0" w:space="0" w:color="auto"/>
        <w:left w:val="none" w:sz="0" w:space="0" w:color="auto"/>
        <w:bottom w:val="none" w:sz="0" w:space="0" w:color="auto"/>
        <w:right w:val="none" w:sz="0" w:space="0" w:color="auto"/>
      </w:divBdr>
    </w:div>
    <w:div w:id="378095620">
      <w:bodyDiv w:val="1"/>
      <w:marLeft w:val="0"/>
      <w:marRight w:val="0"/>
      <w:marTop w:val="0"/>
      <w:marBottom w:val="0"/>
      <w:divBdr>
        <w:top w:val="none" w:sz="0" w:space="0" w:color="auto"/>
        <w:left w:val="none" w:sz="0" w:space="0" w:color="auto"/>
        <w:bottom w:val="none" w:sz="0" w:space="0" w:color="auto"/>
        <w:right w:val="none" w:sz="0" w:space="0" w:color="auto"/>
      </w:divBdr>
    </w:div>
    <w:div w:id="387218804">
      <w:bodyDiv w:val="1"/>
      <w:marLeft w:val="0"/>
      <w:marRight w:val="0"/>
      <w:marTop w:val="0"/>
      <w:marBottom w:val="0"/>
      <w:divBdr>
        <w:top w:val="none" w:sz="0" w:space="0" w:color="auto"/>
        <w:left w:val="none" w:sz="0" w:space="0" w:color="auto"/>
        <w:bottom w:val="none" w:sz="0" w:space="0" w:color="auto"/>
        <w:right w:val="none" w:sz="0" w:space="0" w:color="auto"/>
      </w:divBdr>
    </w:div>
    <w:div w:id="458886587">
      <w:bodyDiv w:val="1"/>
      <w:marLeft w:val="0"/>
      <w:marRight w:val="0"/>
      <w:marTop w:val="0"/>
      <w:marBottom w:val="0"/>
      <w:divBdr>
        <w:top w:val="none" w:sz="0" w:space="0" w:color="auto"/>
        <w:left w:val="none" w:sz="0" w:space="0" w:color="auto"/>
        <w:bottom w:val="none" w:sz="0" w:space="0" w:color="auto"/>
        <w:right w:val="none" w:sz="0" w:space="0" w:color="auto"/>
      </w:divBdr>
    </w:div>
    <w:div w:id="645159783">
      <w:bodyDiv w:val="1"/>
      <w:marLeft w:val="0"/>
      <w:marRight w:val="0"/>
      <w:marTop w:val="0"/>
      <w:marBottom w:val="0"/>
      <w:divBdr>
        <w:top w:val="none" w:sz="0" w:space="0" w:color="auto"/>
        <w:left w:val="none" w:sz="0" w:space="0" w:color="auto"/>
        <w:bottom w:val="none" w:sz="0" w:space="0" w:color="auto"/>
        <w:right w:val="none" w:sz="0" w:space="0" w:color="auto"/>
      </w:divBdr>
    </w:div>
    <w:div w:id="829254980">
      <w:bodyDiv w:val="1"/>
      <w:marLeft w:val="0"/>
      <w:marRight w:val="0"/>
      <w:marTop w:val="0"/>
      <w:marBottom w:val="0"/>
      <w:divBdr>
        <w:top w:val="none" w:sz="0" w:space="0" w:color="auto"/>
        <w:left w:val="none" w:sz="0" w:space="0" w:color="auto"/>
        <w:bottom w:val="none" w:sz="0" w:space="0" w:color="auto"/>
        <w:right w:val="none" w:sz="0" w:space="0" w:color="auto"/>
      </w:divBdr>
    </w:div>
    <w:div w:id="891961022">
      <w:bodyDiv w:val="1"/>
      <w:marLeft w:val="0"/>
      <w:marRight w:val="0"/>
      <w:marTop w:val="0"/>
      <w:marBottom w:val="0"/>
      <w:divBdr>
        <w:top w:val="none" w:sz="0" w:space="0" w:color="auto"/>
        <w:left w:val="none" w:sz="0" w:space="0" w:color="auto"/>
        <w:bottom w:val="none" w:sz="0" w:space="0" w:color="auto"/>
        <w:right w:val="none" w:sz="0" w:space="0" w:color="auto"/>
      </w:divBdr>
    </w:div>
    <w:div w:id="1094472165">
      <w:bodyDiv w:val="1"/>
      <w:marLeft w:val="0"/>
      <w:marRight w:val="0"/>
      <w:marTop w:val="0"/>
      <w:marBottom w:val="0"/>
      <w:divBdr>
        <w:top w:val="none" w:sz="0" w:space="0" w:color="auto"/>
        <w:left w:val="none" w:sz="0" w:space="0" w:color="auto"/>
        <w:bottom w:val="none" w:sz="0" w:space="0" w:color="auto"/>
        <w:right w:val="none" w:sz="0" w:space="0" w:color="auto"/>
      </w:divBdr>
    </w:div>
    <w:div w:id="1121919785">
      <w:bodyDiv w:val="1"/>
      <w:marLeft w:val="0"/>
      <w:marRight w:val="0"/>
      <w:marTop w:val="0"/>
      <w:marBottom w:val="0"/>
      <w:divBdr>
        <w:top w:val="none" w:sz="0" w:space="0" w:color="auto"/>
        <w:left w:val="none" w:sz="0" w:space="0" w:color="auto"/>
        <w:bottom w:val="none" w:sz="0" w:space="0" w:color="auto"/>
        <w:right w:val="none" w:sz="0" w:space="0" w:color="auto"/>
      </w:divBdr>
      <w:divsChild>
        <w:div w:id="1556623928">
          <w:marLeft w:val="0"/>
          <w:marRight w:val="0"/>
          <w:marTop w:val="0"/>
          <w:marBottom w:val="0"/>
          <w:divBdr>
            <w:top w:val="none" w:sz="0" w:space="0" w:color="auto"/>
            <w:left w:val="none" w:sz="0" w:space="0" w:color="auto"/>
            <w:bottom w:val="none" w:sz="0" w:space="0" w:color="auto"/>
            <w:right w:val="none" w:sz="0" w:space="0" w:color="auto"/>
          </w:divBdr>
        </w:div>
        <w:div w:id="357899321">
          <w:marLeft w:val="0"/>
          <w:marRight w:val="0"/>
          <w:marTop w:val="0"/>
          <w:marBottom w:val="0"/>
          <w:divBdr>
            <w:top w:val="none" w:sz="0" w:space="0" w:color="auto"/>
            <w:left w:val="none" w:sz="0" w:space="0" w:color="auto"/>
            <w:bottom w:val="none" w:sz="0" w:space="0" w:color="auto"/>
            <w:right w:val="none" w:sz="0" w:space="0" w:color="auto"/>
          </w:divBdr>
        </w:div>
      </w:divsChild>
    </w:div>
    <w:div w:id="1299336231">
      <w:bodyDiv w:val="1"/>
      <w:marLeft w:val="0"/>
      <w:marRight w:val="0"/>
      <w:marTop w:val="0"/>
      <w:marBottom w:val="0"/>
      <w:divBdr>
        <w:top w:val="none" w:sz="0" w:space="0" w:color="auto"/>
        <w:left w:val="none" w:sz="0" w:space="0" w:color="auto"/>
        <w:bottom w:val="none" w:sz="0" w:space="0" w:color="auto"/>
        <w:right w:val="none" w:sz="0" w:space="0" w:color="auto"/>
      </w:divBdr>
    </w:div>
    <w:div w:id="1351688850">
      <w:bodyDiv w:val="1"/>
      <w:marLeft w:val="0"/>
      <w:marRight w:val="0"/>
      <w:marTop w:val="0"/>
      <w:marBottom w:val="0"/>
      <w:divBdr>
        <w:top w:val="none" w:sz="0" w:space="0" w:color="auto"/>
        <w:left w:val="none" w:sz="0" w:space="0" w:color="auto"/>
        <w:bottom w:val="none" w:sz="0" w:space="0" w:color="auto"/>
        <w:right w:val="none" w:sz="0" w:space="0" w:color="auto"/>
      </w:divBdr>
    </w:div>
    <w:div w:id="1462454833">
      <w:bodyDiv w:val="1"/>
      <w:marLeft w:val="0"/>
      <w:marRight w:val="0"/>
      <w:marTop w:val="0"/>
      <w:marBottom w:val="0"/>
      <w:divBdr>
        <w:top w:val="none" w:sz="0" w:space="0" w:color="auto"/>
        <w:left w:val="none" w:sz="0" w:space="0" w:color="auto"/>
        <w:bottom w:val="none" w:sz="0" w:space="0" w:color="auto"/>
        <w:right w:val="none" w:sz="0" w:space="0" w:color="auto"/>
      </w:divBdr>
    </w:div>
    <w:div w:id="1696421836">
      <w:bodyDiv w:val="1"/>
      <w:marLeft w:val="0"/>
      <w:marRight w:val="0"/>
      <w:marTop w:val="0"/>
      <w:marBottom w:val="0"/>
      <w:divBdr>
        <w:top w:val="none" w:sz="0" w:space="0" w:color="auto"/>
        <w:left w:val="none" w:sz="0" w:space="0" w:color="auto"/>
        <w:bottom w:val="none" w:sz="0" w:space="0" w:color="auto"/>
        <w:right w:val="none" w:sz="0" w:space="0" w:color="auto"/>
      </w:divBdr>
    </w:div>
    <w:div w:id="1734348510">
      <w:bodyDiv w:val="1"/>
      <w:marLeft w:val="0"/>
      <w:marRight w:val="0"/>
      <w:marTop w:val="0"/>
      <w:marBottom w:val="0"/>
      <w:divBdr>
        <w:top w:val="none" w:sz="0" w:space="0" w:color="auto"/>
        <w:left w:val="none" w:sz="0" w:space="0" w:color="auto"/>
        <w:bottom w:val="none" w:sz="0" w:space="0" w:color="auto"/>
        <w:right w:val="none" w:sz="0" w:space="0" w:color="auto"/>
      </w:divBdr>
    </w:div>
    <w:div w:id="1953199449">
      <w:bodyDiv w:val="1"/>
      <w:marLeft w:val="0"/>
      <w:marRight w:val="0"/>
      <w:marTop w:val="0"/>
      <w:marBottom w:val="0"/>
      <w:divBdr>
        <w:top w:val="none" w:sz="0" w:space="0" w:color="auto"/>
        <w:left w:val="none" w:sz="0" w:space="0" w:color="auto"/>
        <w:bottom w:val="none" w:sz="0" w:space="0" w:color="auto"/>
        <w:right w:val="none" w:sz="0" w:space="0" w:color="auto"/>
      </w:divBdr>
    </w:div>
    <w:div w:id="2023892908">
      <w:bodyDiv w:val="1"/>
      <w:marLeft w:val="0"/>
      <w:marRight w:val="0"/>
      <w:marTop w:val="0"/>
      <w:marBottom w:val="0"/>
      <w:divBdr>
        <w:top w:val="none" w:sz="0" w:space="0" w:color="auto"/>
        <w:left w:val="none" w:sz="0" w:space="0" w:color="auto"/>
        <w:bottom w:val="none" w:sz="0" w:space="0" w:color="auto"/>
        <w:right w:val="none" w:sz="0" w:space="0" w:color="auto"/>
      </w:divBdr>
    </w:div>
    <w:div w:id="2061123126">
      <w:bodyDiv w:val="1"/>
      <w:marLeft w:val="0"/>
      <w:marRight w:val="0"/>
      <w:marTop w:val="0"/>
      <w:marBottom w:val="0"/>
      <w:divBdr>
        <w:top w:val="none" w:sz="0" w:space="0" w:color="auto"/>
        <w:left w:val="none" w:sz="0" w:space="0" w:color="auto"/>
        <w:bottom w:val="none" w:sz="0" w:space="0" w:color="auto"/>
        <w:right w:val="none" w:sz="0" w:space="0" w:color="auto"/>
      </w:divBdr>
      <w:divsChild>
        <w:div w:id="610625076">
          <w:marLeft w:val="0"/>
          <w:marRight w:val="0"/>
          <w:marTop w:val="0"/>
          <w:marBottom w:val="0"/>
          <w:divBdr>
            <w:top w:val="none" w:sz="0" w:space="0" w:color="auto"/>
            <w:left w:val="none" w:sz="0" w:space="0" w:color="auto"/>
            <w:bottom w:val="none" w:sz="0" w:space="0" w:color="auto"/>
            <w:right w:val="none" w:sz="0" w:space="0" w:color="auto"/>
          </w:divBdr>
        </w:div>
        <w:div w:id="1308702964">
          <w:marLeft w:val="0"/>
          <w:marRight w:val="0"/>
          <w:marTop w:val="450"/>
          <w:marBottom w:val="0"/>
          <w:divBdr>
            <w:top w:val="none" w:sz="0" w:space="0" w:color="auto"/>
            <w:left w:val="none" w:sz="0" w:space="0" w:color="auto"/>
            <w:bottom w:val="none" w:sz="0" w:space="0" w:color="auto"/>
            <w:right w:val="none" w:sz="0" w:space="0" w:color="auto"/>
          </w:divBdr>
          <w:divsChild>
            <w:div w:id="1878811288">
              <w:marLeft w:val="0"/>
              <w:marRight w:val="0"/>
              <w:marTop w:val="0"/>
              <w:marBottom w:val="0"/>
              <w:divBdr>
                <w:top w:val="none" w:sz="0" w:space="0" w:color="auto"/>
                <w:left w:val="none" w:sz="0" w:space="0" w:color="auto"/>
                <w:bottom w:val="none" w:sz="0" w:space="0" w:color="auto"/>
                <w:right w:val="none" w:sz="0" w:space="0" w:color="auto"/>
              </w:divBdr>
            </w:div>
            <w:div w:id="398669623">
              <w:marLeft w:val="0"/>
              <w:marRight w:val="0"/>
              <w:marTop w:val="0"/>
              <w:marBottom w:val="0"/>
              <w:divBdr>
                <w:top w:val="none" w:sz="0" w:space="0" w:color="auto"/>
                <w:left w:val="none" w:sz="0" w:space="0" w:color="auto"/>
                <w:bottom w:val="none" w:sz="0" w:space="0" w:color="auto"/>
                <w:right w:val="none" w:sz="0" w:space="0" w:color="auto"/>
              </w:divBdr>
            </w:div>
            <w:div w:id="1527716954">
              <w:marLeft w:val="0"/>
              <w:marRight w:val="0"/>
              <w:marTop w:val="0"/>
              <w:marBottom w:val="0"/>
              <w:divBdr>
                <w:top w:val="none" w:sz="0" w:space="0" w:color="auto"/>
                <w:left w:val="none" w:sz="0" w:space="0" w:color="auto"/>
                <w:bottom w:val="none" w:sz="0" w:space="0" w:color="auto"/>
                <w:right w:val="none" w:sz="0" w:space="0" w:color="auto"/>
              </w:divBdr>
            </w:div>
            <w:div w:id="8208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56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83B9-365E-574A-B97A-31CA1A6C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13824</Words>
  <Characters>76032</Characters>
  <Application>Microsoft Macintosh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Joana</dc:creator>
  <cp:lastModifiedBy>Maria Joana</cp:lastModifiedBy>
  <cp:revision>60</cp:revision>
  <dcterms:created xsi:type="dcterms:W3CDTF">2017-11-27T16:55:00Z</dcterms:created>
  <dcterms:modified xsi:type="dcterms:W3CDTF">2017-12-10T18:29:00Z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mariajoanamateu@gmail.com@www.mendeley.com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