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FD" w:rsidRDefault="006F34DC" w:rsidP="006F34DC">
      <w:pPr>
        <w:pStyle w:val="Puesto"/>
      </w:pPr>
      <w:r>
        <w:t>HIERRO</w:t>
      </w:r>
    </w:p>
    <w:p w:rsidR="006667E6" w:rsidRDefault="0011080F" w:rsidP="006667E6">
      <w:pPr>
        <w:pStyle w:val="Ttulo1"/>
      </w:pPr>
      <w:r>
        <w:t>CARACTERÍSTICA DE UNA DEFICIENCIA Y POBLACIÓN DE RIESGO</w:t>
      </w:r>
    </w:p>
    <w:p w:rsidR="007E6169" w:rsidRDefault="007E6169" w:rsidP="0011080F"/>
    <w:p w:rsidR="0024032F" w:rsidRDefault="007E6169" w:rsidP="0011080F">
      <w:r>
        <w:t xml:space="preserve">La principal consecuencia de un déficit de hierro es la </w:t>
      </w:r>
      <w:r w:rsidRPr="007E6169">
        <w:t>anemia</w:t>
      </w:r>
      <w:r>
        <w:t>, la cual</w:t>
      </w:r>
      <w:r w:rsidRPr="007E6169">
        <w:t xml:space="preserve"> se caracteriza por hemoglobina reducida o masa </w:t>
      </w:r>
      <w:r>
        <w:t>circulante de glóbulos rojos</w:t>
      </w:r>
      <w:r w:rsidRPr="007E6169">
        <w:t xml:space="preserve">. A menudo es un signo o síntoma de enfermedades o afecciones subyacentes o también puede ser causado por una variedad de diferentes medicamentos. La anemia por deficiencia de hierro (IDA) se clasifica como una anemia </w:t>
      </w:r>
      <w:proofErr w:type="spellStart"/>
      <w:r w:rsidRPr="007E6169">
        <w:t>microcítica</w:t>
      </w:r>
      <w:proofErr w:type="spellEnd"/>
      <w:r w:rsidRPr="007E6169">
        <w:t xml:space="preserve"> (las células son de tamaño pequeño) y, por lo general, también es una anemia </w:t>
      </w:r>
      <w:proofErr w:type="spellStart"/>
      <w:r w:rsidRPr="007E6169">
        <w:t>hipocrómica</w:t>
      </w:r>
      <w:proofErr w:type="spellEnd"/>
      <w:r w:rsidRPr="007E6169">
        <w:t xml:space="preserve"> (las células son de color pálido).</w:t>
      </w:r>
      <w:r>
        <w:t xml:space="preserve"> </w:t>
      </w:r>
      <w:r w:rsidR="0024032F">
        <w:t>L</w:t>
      </w:r>
      <w:r w:rsidR="0024032F" w:rsidRPr="0024032F">
        <w:t>a deficiencia de hierro</w:t>
      </w:r>
      <w:r w:rsidR="0024032F">
        <w:t xml:space="preserve"> puede aparecer en casos de</w:t>
      </w:r>
      <w:r w:rsidR="0024032F" w:rsidRPr="0024032F">
        <w:t xml:space="preserve"> ingestas inadecuadas, absorción deficiente, aumento de las pérdidas y / o mayor d</w:t>
      </w:r>
      <w:r w:rsidR="006C488A">
        <w:t>emanda fisiológica de hierro</w:t>
      </w:r>
      <w:r w:rsidR="0024032F" w:rsidRPr="0024032F">
        <w:t>.</w:t>
      </w:r>
    </w:p>
    <w:p w:rsidR="006C488A" w:rsidRDefault="007E6169" w:rsidP="0011080F">
      <w:r>
        <w:t xml:space="preserve">La población de riesgo es: </w:t>
      </w:r>
      <w:r w:rsidRPr="007E6169">
        <w:t>niños de 1.5-2.5 años, mujeres de 15 a 18 años de edad, mujeres de 35 a 49 años de edad, hombres de 65 años o mayores que viven en instituciones y adultos libres de 85 años o más.</w:t>
      </w:r>
      <w:r w:rsidR="00A81E23">
        <w:t xml:space="preserve"> </w:t>
      </w:r>
      <w:r w:rsidR="00A81E23">
        <w:fldChar w:fldCharType="begin" w:fldLock="1"/>
      </w:r>
      <w:r w:rsidR="00A81E23">
        <w:instrText>ADDIN CSL_CITATION { "citationItems" : [ { "id" : "ITEM-1", "itemData" : { "URL" : "http://www.pennutrition.com/KnowledgePathway.aspx?kpid=403&amp;trid=22667&amp;trcatid=38", "accessed" : { "date-parts" : [ [ "2017", "12", "3" ] ] }, "id" : "ITEM-1", "issued" : { "date-parts" : [ [ "0" ] ] }, "title" : "PEN: evidencia basada en la pr\u00e1ctica en nutrici\u00f3n", "type" : "webpage" }, "uris" : [ "http://www.mendeley.com/documents/?uuid=0652b0cd-a974-3dda-be7c-f5c2a4ad73ff" ] } ], "mendeley" : { "formattedCitation" : "(1)", "plainTextFormattedCitation" : "(1)", "previouslyFormattedCitation" : "(1)" }, "properties" : {  }, "schema" : "https://github.com/citation-style-language/schema/raw/master/csl-citation.json" }</w:instrText>
      </w:r>
      <w:r w:rsidR="00A81E23">
        <w:fldChar w:fldCharType="separate"/>
      </w:r>
      <w:r w:rsidR="00A81E23" w:rsidRPr="00A81E23">
        <w:rPr>
          <w:noProof/>
        </w:rPr>
        <w:t>(1)</w:t>
      </w:r>
      <w:r w:rsidR="00A81E23">
        <w:fldChar w:fldCharType="end"/>
      </w:r>
      <w:r w:rsidR="00A81E23">
        <w:t xml:space="preserve"> </w:t>
      </w:r>
    </w:p>
    <w:p w:rsidR="0024032F" w:rsidRDefault="0024032F" w:rsidP="0011080F"/>
    <w:p w:rsidR="007E6169" w:rsidRDefault="007E6169" w:rsidP="007E6169">
      <w:pPr>
        <w:pStyle w:val="Ttulo1"/>
      </w:pPr>
      <w:r>
        <w:t>DIAGNÓSTICO</w:t>
      </w:r>
    </w:p>
    <w:p w:rsidR="007E6169" w:rsidRDefault="007E6169" w:rsidP="007E6169"/>
    <w:p w:rsidR="0064477D" w:rsidRDefault="0064477D" w:rsidP="0064477D">
      <w:pPr>
        <w:pStyle w:val="Ttulo2"/>
      </w:pPr>
      <w:r>
        <w:t>Bioquímica</w:t>
      </w:r>
    </w:p>
    <w:p w:rsidR="0064477D" w:rsidRDefault="0064477D" w:rsidP="007E6169">
      <w:r w:rsidRPr="0064477D">
        <w:t>Se utilizan una variedad de análisis de sangre diferentes para detectar y diagnosticar la deficiencia de hierro</w:t>
      </w:r>
      <w:r>
        <w:t>. En la tabla observamos los principales índices diagnósticos a tener en cuenta:</w:t>
      </w:r>
    </w:p>
    <w:p w:rsidR="007E6169" w:rsidRDefault="007E6169" w:rsidP="007E6169"/>
    <w:p w:rsidR="007E6169" w:rsidRDefault="007E6169" w:rsidP="007E6169"/>
    <w:p w:rsidR="007E6169" w:rsidRPr="007E6169" w:rsidRDefault="007E6169" w:rsidP="007E6169"/>
    <w:p w:rsidR="0064477D" w:rsidRDefault="0064477D" w:rsidP="0011080F"/>
    <w:p w:rsidR="0024032F" w:rsidRDefault="0064477D" w:rsidP="0011080F">
      <w:r>
        <w:rPr>
          <w:noProof/>
          <w:lang w:eastAsia="es-ES"/>
        </w:rPr>
        <w:lastRenderedPageBreak/>
        <w:drawing>
          <wp:anchor distT="0" distB="0" distL="114300" distR="114300" simplePos="0" relativeHeight="251571712" behindDoc="0" locked="0" layoutInCell="1" allowOverlap="1" wp14:anchorId="5B2E1A4C" wp14:editId="12B3B885">
            <wp:simplePos x="0" y="0"/>
            <wp:positionH relativeFrom="margin">
              <wp:posOffset>-270510</wp:posOffset>
            </wp:positionH>
            <wp:positionV relativeFrom="margin">
              <wp:posOffset>-4445</wp:posOffset>
            </wp:positionV>
            <wp:extent cx="5924550" cy="33947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703" t="16002" r="29445" b="19368"/>
                    <a:stretch/>
                  </pic:blipFill>
                  <pic:spPr bwMode="auto">
                    <a:xfrm>
                      <a:off x="0" y="0"/>
                      <a:ext cx="5924550" cy="339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IMPORTANTE: d</w:t>
      </w:r>
      <w:r w:rsidRPr="0064477D">
        <w:t>ebido a que la ferritina sérica es una de las principales pruebas de diagnóstico de la deficiencia de hierro, pero se confunde con la infección y la inflamación, se ha recomendado medir una o más proteínas de fase aguda</w:t>
      </w:r>
      <w:r>
        <w:t xml:space="preserve"> </w:t>
      </w:r>
      <w:r w:rsidRPr="0064477D">
        <w:t xml:space="preserve">(tal como la proteína C-reactiva (CRP), </w:t>
      </w:r>
      <w:proofErr w:type="spellStart"/>
      <w:r w:rsidRPr="0064477D">
        <w:t>antiquimotripsina</w:t>
      </w:r>
      <w:proofErr w:type="spellEnd"/>
      <w:r w:rsidRPr="0064477D">
        <w:t xml:space="preserve"> (ACT y glicoproteína ácida (AGP)) con ferritina sérica, para determinar si hay infección o inflamación que podrían estar afectando los niveles de ferritina en suero</w:t>
      </w:r>
      <w:r w:rsidR="00A81E23">
        <w:t xml:space="preserve">. </w:t>
      </w:r>
      <w:r w:rsidR="00A81E23">
        <w:fldChar w:fldCharType="begin" w:fldLock="1"/>
      </w:r>
      <w:r w:rsidR="00A81E23">
        <w:instrText>ADDIN CSL_CITATION { "citationItems" : [ { "id" : "ITEM-1", "itemData" : { "URL" : "http://www.pennutrition.com/KnowledgePathway.aspx?kpid=403&amp;trid=22667&amp;trcatid=38", "accessed" : { "date-parts" : [ [ "2017", "12", "3" ] ] }, "id" : "ITEM-1", "issued" : { "date-parts" : [ [ "0" ] ] }, "title" : "PEN: evidencia basada en la pr\u00e1ctica en nutrici\u00f3n", "type" : "webpage" }, "uris" : [ "http://www.mendeley.com/documents/?uuid=0652b0cd-a974-3dda-be7c-f5c2a4ad73ff" ] } ], "mendeley" : { "formattedCitation" : "(1)", "plainTextFormattedCitation" : "(1)", "previouslyFormattedCitation" : "(1)" }, "properties" : {  }, "schema" : "https://github.com/citation-style-language/schema/raw/master/csl-citation.json" }</w:instrText>
      </w:r>
      <w:r w:rsidR="00A81E23">
        <w:fldChar w:fldCharType="separate"/>
      </w:r>
      <w:r w:rsidR="00A81E23" w:rsidRPr="00A81E23">
        <w:rPr>
          <w:noProof/>
        </w:rPr>
        <w:t>(1)</w:t>
      </w:r>
      <w:r w:rsidR="00A81E23">
        <w:fldChar w:fldCharType="end"/>
      </w:r>
    </w:p>
    <w:p w:rsidR="007E6169" w:rsidRPr="007E6169" w:rsidRDefault="007E6169" w:rsidP="007E6169">
      <w:pPr>
        <w:spacing w:after="0" w:line="240" w:lineRule="auto"/>
        <w:rPr>
          <w:rFonts w:ascii="Times New Roman" w:eastAsia="Times New Roman" w:hAnsi="Times New Roman" w:cs="Times New Roman"/>
          <w:sz w:val="24"/>
          <w:szCs w:val="24"/>
          <w:lang w:eastAsia="es-ES"/>
        </w:rPr>
      </w:pPr>
      <w:r w:rsidRPr="007E6169">
        <w:rPr>
          <w:rFonts w:ascii="Helvetica" w:eastAsia="Times New Roman" w:hAnsi="Helvetica" w:cs="Helvetica"/>
          <w:b/>
          <w:bCs/>
          <w:color w:val="24282C"/>
          <w:sz w:val="24"/>
          <w:szCs w:val="24"/>
          <w:lang w:eastAsia="es-ES"/>
        </w:rPr>
        <w:t> </w:t>
      </w:r>
    </w:p>
    <w:p w:rsidR="0064477D" w:rsidRDefault="0064477D" w:rsidP="0064477D">
      <w:pPr>
        <w:pStyle w:val="Ttulo2"/>
      </w:pPr>
      <w:r>
        <w:t>Signos y síntomas</w:t>
      </w:r>
    </w:p>
    <w:p w:rsidR="0064477D" w:rsidRDefault="0064477D" w:rsidP="0064477D"/>
    <w:p w:rsidR="00A73BC0" w:rsidRDefault="0064477D" w:rsidP="0011080F">
      <w:r w:rsidRPr="0064477D">
        <w:t>La deficiencia de hierro, incluso antes de que ocurra un estado anémico, puede causar disminuciones en la capacidad de trabajo físico, deterioro cognitivo, retrasos en el desarrollo, resultados adversos del embarazo, inmunidad deteriorada y regulació</w:t>
      </w:r>
      <w:r w:rsidR="00A73BC0">
        <w:t>n de la temperatura corporal</w:t>
      </w:r>
      <w:r w:rsidRPr="0064477D">
        <w:t xml:space="preserve">. </w:t>
      </w:r>
    </w:p>
    <w:p w:rsidR="0024032F" w:rsidRDefault="0064477D" w:rsidP="0011080F">
      <w:r w:rsidRPr="0064477D">
        <w:t>IDA conduce a un deterioro funcional debido al suministro de oxígeno alterado a partir de baja hemoglobina, mioglobina y alteración del metabolismo oxidativo debido a los citocromos y las enzim</w:t>
      </w:r>
      <w:r w:rsidR="00A73BC0">
        <w:t>as necesarias para el hierro</w:t>
      </w:r>
      <w:r w:rsidRPr="0064477D">
        <w:t>. En algunas personas, la IDA leve puede ser asintomática. Sin embargo, IDA también puede caracterizarse por debilidad y fatiga, falta de aliento durante el ejercicio (tolerancia al ejercicio deficiente), latidos cardíacos rápidos o irregulares, mareos, síncope, dolor de cabeza</w:t>
      </w:r>
      <w:r w:rsidR="00A73BC0">
        <w:t>, vértigo, intolerancia al frío</w:t>
      </w:r>
      <w:r w:rsidRPr="0064477D">
        <w:t>, palidez, irritabilidad, uñas en forma de cuchara, pica, estomatitis angular</w:t>
      </w:r>
      <w:r w:rsidR="00A73BC0">
        <w:t xml:space="preserve"> y glositis</w:t>
      </w:r>
      <w:r w:rsidRPr="0064477D">
        <w:t>.</w:t>
      </w:r>
      <w:r w:rsidR="00A81E23">
        <w:t xml:space="preserve"> </w:t>
      </w:r>
      <w:r w:rsidR="00A81E23">
        <w:fldChar w:fldCharType="begin" w:fldLock="1"/>
      </w:r>
      <w:r w:rsidR="00A81E23">
        <w:instrText>ADDIN CSL_CITATION { "citationItems" : [ { "id" : "ITEM-1", "itemData" : { "URL" : "http://www.pennutrition.com/KnowledgePathway.aspx?kpid=403&amp;trid=22667&amp;trcatid=38", "accessed" : { "date-parts" : [ [ "2017", "12", "3" ] ] }, "id" : "ITEM-1", "issued" : { "date-parts" : [ [ "0" ] ] }, "title" : "PEN: evidencia basada en la pr\u00e1ctica en nutrici\u00f3n", "type" : "webpage" }, "uris" : [ "http://www.mendeley.com/documents/?uuid=0652b0cd-a974-3dda-be7c-f5c2a4ad73ff" ] } ], "mendeley" : { "formattedCitation" : "(1)", "plainTextFormattedCitation" : "(1)", "previouslyFormattedCitation" : "(1)" }, "properties" : {  }, "schema" : "https://github.com/citation-style-language/schema/raw/master/csl-citation.json" }</w:instrText>
      </w:r>
      <w:r w:rsidR="00A81E23">
        <w:fldChar w:fldCharType="separate"/>
      </w:r>
      <w:r w:rsidR="00A81E23" w:rsidRPr="00A81E23">
        <w:rPr>
          <w:noProof/>
        </w:rPr>
        <w:t>(1)</w:t>
      </w:r>
      <w:r w:rsidR="00A81E23">
        <w:fldChar w:fldCharType="end"/>
      </w:r>
    </w:p>
    <w:p w:rsidR="00A73BC0" w:rsidRDefault="00A73BC0" w:rsidP="0011080F"/>
    <w:p w:rsidR="006E3DA7" w:rsidRDefault="006E3DA7" w:rsidP="0011080F"/>
    <w:p w:rsidR="006E3DA7" w:rsidRDefault="006E3DA7" w:rsidP="0011080F"/>
    <w:p w:rsidR="002A1FC0" w:rsidRDefault="002A1FC0" w:rsidP="0011080F"/>
    <w:p w:rsidR="002A1FC0" w:rsidRDefault="002A1FC0" w:rsidP="0011080F"/>
    <w:p w:rsidR="00A73BC0" w:rsidRDefault="00A73BC0" w:rsidP="00A73BC0">
      <w:pPr>
        <w:pStyle w:val="Ttulo2"/>
      </w:pPr>
      <w:r>
        <w:lastRenderedPageBreak/>
        <w:t>Comorbilidad</w:t>
      </w:r>
    </w:p>
    <w:p w:rsidR="00A73BC0" w:rsidRDefault="00A73BC0" w:rsidP="00A73BC0"/>
    <w:p w:rsidR="00A73BC0" w:rsidRPr="00A73BC0" w:rsidRDefault="002A1FC0" w:rsidP="00A73BC0">
      <w:r w:rsidRPr="002A1FC0">
        <w:t xml:space="preserve">Hay una serie de condiciones que pueden aumentar el riesgo de anemia por deficiencia de hierro o pueden ser la causa subyacente de la IDA. Estas afecciones incluyen enfermedades y trastornos gastrointestinales (como enfermedad celíaca, enfermedad de Crohn, aclorhidria, colitis ulcerosa, </w:t>
      </w:r>
      <w:proofErr w:type="spellStart"/>
      <w:r w:rsidRPr="002A1FC0">
        <w:t>Helicobacter</w:t>
      </w:r>
      <w:proofErr w:type="spellEnd"/>
      <w:r w:rsidRPr="002A1FC0">
        <w:t xml:space="preserve"> </w:t>
      </w:r>
      <w:proofErr w:type="gramStart"/>
      <w:r w:rsidRPr="002A1FC0">
        <w:t>pylori ,</w:t>
      </w:r>
      <w:proofErr w:type="gramEnd"/>
      <w:r w:rsidRPr="002A1FC0">
        <w:t xml:space="preserve"> úlcera péptica, enfermedad inflamatoria del intestino, </w:t>
      </w:r>
      <w:proofErr w:type="spellStart"/>
      <w:r w:rsidRPr="002A1FC0">
        <w:t>diverticulosis</w:t>
      </w:r>
      <w:proofErr w:type="spellEnd"/>
      <w:r w:rsidRPr="002A1FC0">
        <w:t>, etc.), trastornos de la coagulación (como deficiencias de los factores), cáncer, flujo menstrual excesivo (incluido el debido a trastornos) y el uso de ciertos medicamentos</w:t>
      </w:r>
      <w:r>
        <w:t>.</w:t>
      </w:r>
    </w:p>
    <w:p w:rsidR="006667E6" w:rsidRPr="001D4875" w:rsidRDefault="006667E6" w:rsidP="006667E6">
      <w:pPr>
        <w:rPr>
          <w:lang w:val="ca-ES"/>
        </w:rPr>
      </w:pPr>
    </w:p>
    <w:p w:rsidR="005C7D9C" w:rsidRDefault="005C7D9C" w:rsidP="005C7D9C">
      <w:pPr>
        <w:pStyle w:val="Ttulo1"/>
      </w:pPr>
      <w:r>
        <w:t>REQUERIMIENTOS</w:t>
      </w:r>
      <w:r w:rsidR="007C3AEE">
        <w:t xml:space="preserve"> </w:t>
      </w:r>
    </w:p>
    <w:p w:rsidR="005C7D9C" w:rsidRDefault="005C7D9C" w:rsidP="005C7D9C"/>
    <w:p w:rsidR="00D83F62" w:rsidRDefault="00D83F62" w:rsidP="005C7D9C">
      <w:r>
        <w:rPr>
          <w:noProof/>
          <w:lang w:eastAsia="es-ES"/>
        </w:rPr>
        <w:drawing>
          <wp:inline distT="0" distB="0" distL="0" distR="0" wp14:anchorId="42316BF5" wp14:editId="344BA26E">
            <wp:extent cx="4410075" cy="23100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287" t="42355" r="52376" b="26584"/>
                    <a:stretch/>
                  </pic:blipFill>
                  <pic:spPr bwMode="auto">
                    <a:xfrm>
                      <a:off x="0" y="0"/>
                      <a:ext cx="4445529" cy="2328610"/>
                    </a:xfrm>
                    <a:prstGeom prst="rect">
                      <a:avLst/>
                    </a:prstGeom>
                    <a:ln>
                      <a:noFill/>
                    </a:ln>
                    <a:extLst>
                      <a:ext uri="{53640926-AAD7-44D8-BBD7-CCE9431645EC}">
                        <a14:shadowObscured xmlns:a14="http://schemas.microsoft.com/office/drawing/2010/main"/>
                      </a:ext>
                    </a:extLst>
                  </pic:spPr>
                </pic:pic>
              </a:graphicData>
            </a:graphic>
          </wp:inline>
        </w:drawing>
      </w:r>
    </w:p>
    <w:p w:rsidR="00A81E23" w:rsidRDefault="00D83F62" w:rsidP="006F34DC">
      <w:r>
        <w:t>Esta enumera las RDA actuales de hierro para no vegetarianos.</w:t>
      </w:r>
      <w:r w:rsidR="007C3AEE">
        <w:t xml:space="preserve"> </w:t>
      </w:r>
      <w:r w:rsidR="007C3AEE">
        <w:fldChar w:fldCharType="begin" w:fldLock="1"/>
      </w:r>
      <w:r w:rsidR="007C3AEE">
        <w:instrText>ADDIN CSL_CITATION { "citationItems" : [ { "id" : "ITEM-1", "itemData" : { "DOI" : "10.1016/S1138-0322(10)70039-0", "container-title" : "Actividad Dietetica", "id" : "ITEM-1", "issue" : "4", "issued" : { "date-parts" : [ [ "2010" ] ] }, "page" : "196-197", "title" : "Ingestas Diet\u00e9ticas de Referencia (IDR) para la Poblaci\u00f3n Espa\u00f1ola, 2010", "type" : "article-journal", "volume" : "14" }, "uris" : [ "http://www.mendeley.com/documents/?uuid=5d8a9743-7758-38d3-a781-fc3e7323d745" ] } ], "mendeley" : { "formattedCitation" : "(2)", "plainTextFormattedCitation" : "(2)", "previouslyFormattedCitation" : "(2)" }, "properties" : {  }, "schema" : "https://github.com/citation-style-language/schema/raw/master/csl-citation.json" }</w:instrText>
      </w:r>
      <w:r w:rsidR="007C3AEE">
        <w:fldChar w:fldCharType="separate"/>
      </w:r>
      <w:r w:rsidR="007C3AEE" w:rsidRPr="007C3AEE">
        <w:rPr>
          <w:noProof/>
        </w:rPr>
        <w:t>(2)</w:t>
      </w:r>
      <w:r w:rsidR="007C3AEE">
        <w:fldChar w:fldCharType="end"/>
      </w:r>
      <w:r w:rsidR="00082E8B">
        <w:t xml:space="preserve"> Las RDA para los vegetarianos</w:t>
      </w:r>
      <w:r>
        <w:t xml:space="preserve"> son 1.8 veces más altas que para las personas que comen carne. Esto se debe a que el hierro </w:t>
      </w:r>
      <w:proofErr w:type="spellStart"/>
      <w:r>
        <w:t>hemo</w:t>
      </w:r>
      <w:proofErr w:type="spellEnd"/>
      <w:r>
        <w:t xml:space="preserve"> de la carne es más biodisponible que el hierro no </w:t>
      </w:r>
      <w:proofErr w:type="spellStart"/>
      <w:r>
        <w:t>hemo</w:t>
      </w:r>
      <w:proofErr w:type="spellEnd"/>
      <w:r>
        <w:t xml:space="preserve"> de los alimentos de origen vegetal, y la carne, las aves de corral y los mariscos aumentan la absorción del hierro no </w:t>
      </w:r>
      <w:proofErr w:type="spellStart"/>
      <w:r>
        <w:t>hemo</w:t>
      </w:r>
      <w:proofErr w:type="spellEnd"/>
      <w:r>
        <w:t>.</w:t>
      </w:r>
      <w:r w:rsidR="00082E8B">
        <w:t xml:space="preserve"> </w:t>
      </w:r>
    </w:p>
    <w:p w:rsidR="00082E8B" w:rsidRDefault="00082E8B" w:rsidP="006F34DC"/>
    <w:p w:rsidR="00082E8B" w:rsidRDefault="00082E8B" w:rsidP="006F34DC"/>
    <w:p w:rsidR="00082E8B" w:rsidRDefault="00082E8B" w:rsidP="006F34DC"/>
    <w:p w:rsidR="00082E8B" w:rsidRDefault="00082E8B" w:rsidP="006F34DC"/>
    <w:p w:rsidR="00082E8B" w:rsidRDefault="00082E8B" w:rsidP="006F34DC"/>
    <w:p w:rsidR="00082E8B" w:rsidRDefault="00082E8B" w:rsidP="006F34DC"/>
    <w:p w:rsidR="00082E8B" w:rsidRDefault="00082E8B" w:rsidP="006F34DC"/>
    <w:p w:rsidR="00082E8B" w:rsidRDefault="00082E8B" w:rsidP="006F34DC"/>
    <w:p w:rsidR="00A81E23" w:rsidRDefault="00A81E23" w:rsidP="006F34DC"/>
    <w:p w:rsidR="00A81E23" w:rsidRDefault="001E7B38" w:rsidP="001E7B38">
      <w:pPr>
        <w:pStyle w:val="Ttulo1"/>
      </w:pPr>
      <w:r>
        <w:lastRenderedPageBreak/>
        <w:t>EXCESO</w:t>
      </w:r>
    </w:p>
    <w:p w:rsidR="00A81E23" w:rsidRDefault="00A81E23" w:rsidP="00A81E23"/>
    <w:p w:rsidR="00A81E23" w:rsidRDefault="001E7B38" w:rsidP="00A81E23">
      <w:r>
        <w:rPr>
          <w:noProof/>
          <w:lang w:eastAsia="es-ES"/>
        </w:rPr>
        <w:drawing>
          <wp:anchor distT="0" distB="0" distL="114300" distR="114300" simplePos="0" relativeHeight="251602432" behindDoc="0" locked="0" layoutInCell="1" allowOverlap="1" wp14:anchorId="4F2D9B62" wp14:editId="23AEDEF6">
            <wp:simplePos x="0" y="0"/>
            <wp:positionH relativeFrom="margin">
              <wp:posOffset>-118110</wp:posOffset>
            </wp:positionH>
            <wp:positionV relativeFrom="margin">
              <wp:posOffset>862330</wp:posOffset>
            </wp:positionV>
            <wp:extent cx="5974715" cy="2199640"/>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288" t="51453" r="38440" b="19996"/>
                    <a:stretch/>
                  </pic:blipFill>
                  <pic:spPr bwMode="auto">
                    <a:xfrm>
                      <a:off x="0" y="0"/>
                      <a:ext cx="5974715" cy="2199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Helvetica" w:hAnsi="Helvetica" w:cs="Helvetica"/>
          <w:b/>
          <w:bCs/>
          <w:color w:val="333333"/>
          <w:sz w:val="20"/>
          <w:szCs w:val="20"/>
        </w:rPr>
        <w:t>Niveles de ingesta superior (UL) tolerable para hierro</w:t>
      </w:r>
    </w:p>
    <w:p w:rsidR="00A81E23" w:rsidRDefault="00A81E23" w:rsidP="00A81E23"/>
    <w:p w:rsidR="001E7B38" w:rsidRDefault="001E7B38" w:rsidP="00A81E23">
      <w:r w:rsidRPr="001E7B38">
        <w:t>Los adultos con función intestinal normal tienen muy poco riesgo de sobrecarga de hierro a partir de fu</w:t>
      </w:r>
      <w:r>
        <w:t>entes dietéticas de hierro</w:t>
      </w:r>
      <w:r w:rsidRPr="001E7B38">
        <w:t>. Sin embargo, la ingesta aguda de más de 20 mg / kg de hierro de suplementos o medicamentos puede provocar malestar gástrico, estreñimiento, náuseas, dolor abdominal, vómitos y desmayos, especialmente si no se toman ali</w:t>
      </w:r>
      <w:r>
        <w:t>mentos al mismo tiempo</w:t>
      </w:r>
      <w:r w:rsidRPr="001E7B38">
        <w:t xml:space="preserve">. </w:t>
      </w:r>
    </w:p>
    <w:p w:rsidR="00A81E23" w:rsidRDefault="001E7B38" w:rsidP="00A81E23">
      <w:r w:rsidRPr="001E7B38">
        <w:t>Tomar suplementos que contienen 25 mg de hierro elemental o más también puede reducir la absorción de zinc y las concentraciones plasmáticas de zin</w:t>
      </w:r>
      <w:r>
        <w:t>c.</w:t>
      </w:r>
      <w:r w:rsidRPr="001E7B38">
        <w:t xml:space="preserve"> En los casos graves (p. Ej., Ingestas únicas de 60 mg / kg), las sobredosis de hierro pueden provocar insuficiencia orgánica </w:t>
      </w:r>
      <w:proofErr w:type="spellStart"/>
      <w:r w:rsidRPr="001E7B38">
        <w:t>multisistémica</w:t>
      </w:r>
      <w:proofErr w:type="spellEnd"/>
      <w:r w:rsidRPr="001E7B38">
        <w:t>, coma, convulsiones e incluso la muerte</w:t>
      </w:r>
      <w:r>
        <w:t xml:space="preserve">. </w:t>
      </w:r>
      <w:r>
        <w:fldChar w:fldCharType="begin" w:fldLock="1"/>
      </w:r>
      <w:r w:rsidR="007C3AEE">
        <w:instrText>ADDIN CSL_CITATION { "citationItems" : [ { "id" : "ITEM-1", "itemData" : { "DOI" : "10.7326/M15-1707", "ISSN" : "0003-4819", "author" : [ { "dropping-particle" : "", "family" : "Siu", "given" : "Albert L.", "non-dropping-particle" : "", "parse-names" : false, "suffix" : "" } ], "container-title" : "Annals of Internal Medicine", "id" : "ITEM-1", "issue" : "7", "issued" : { "date-parts" : [ [ "2015", "10", "6" ] ] }, "page" : "529", "title" : "Screening for Iron Deficiency Anemia and Iron Supplementation in Pregnant Women to Improve Maternal Health and Birth Outcomes: U.S. Preventive Services Task Force Recommendation Statement", "type" : "article-journal", "volume" : "163" }, "uris" : [ "http://www.mendeley.com/documents/?uuid=e1ab00b3-b0b5-3851-ab24-369fbf85e256" ] } ], "mendeley" : { "formattedCitation" : "(3)", "plainTextFormattedCitation" : "(3)", "previouslyFormattedCitation" : "(3)" }, "properties" : {  }, "schema" : "https://github.com/citation-style-language/schema/raw/master/csl-citation.json" }</w:instrText>
      </w:r>
      <w:r>
        <w:fldChar w:fldCharType="separate"/>
      </w:r>
      <w:r w:rsidR="007C3AEE" w:rsidRPr="007C3AEE">
        <w:rPr>
          <w:noProof/>
        </w:rPr>
        <w:t>(3)</w:t>
      </w:r>
      <w:r>
        <w:fldChar w:fldCharType="end"/>
      </w:r>
    </w:p>
    <w:p w:rsidR="005C7D9C" w:rsidRDefault="005C7D9C" w:rsidP="006F34DC">
      <w:pPr>
        <w:pStyle w:val="Ttulo1"/>
      </w:pPr>
    </w:p>
    <w:p w:rsidR="005C7D9C" w:rsidRDefault="001E7B38" w:rsidP="006F34DC">
      <w:pPr>
        <w:pStyle w:val="Ttulo1"/>
      </w:pPr>
      <w:r>
        <w:t>TRATAMIENTO NUTRICIONAL Y SUPLEMENTACIÓN</w:t>
      </w:r>
    </w:p>
    <w:p w:rsidR="001E7B38" w:rsidRDefault="001E7B38" w:rsidP="001E7B38">
      <w:pPr>
        <w:pStyle w:val="Ttulo2"/>
        <w:rPr>
          <w:rFonts w:ascii="Arial" w:eastAsia="SimSun" w:hAnsi="Arial" w:cs="Mangal"/>
          <w:color w:val="auto"/>
          <w:kern w:val="3"/>
          <w:sz w:val="22"/>
          <w:szCs w:val="22"/>
          <w:shd w:val="clear" w:color="auto" w:fill="FFFF00"/>
          <w:lang w:eastAsia="zh-CN" w:bidi="hi-IN"/>
        </w:rPr>
      </w:pPr>
    </w:p>
    <w:p w:rsidR="001E7B38" w:rsidRDefault="001E7B38" w:rsidP="001E7B38">
      <w:pPr>
        <w:rPr>
          <w:lang w:eastAsia="zh-CN" w:bidi="hi-IN"/>
        </w:rPr>
      </w:pPr>
    </w:p>
    <w:p w:rsidR="001E7B38" w:rsidRDefault="001E7B38" w:rsidP="001E7B38">
      <w:pPr>
        <w:pStyle w:val="Ttulo2"/>
        <w:rPr>
          <w:lang w:eastAsia="zh-CN" w:bidi="hi-IN"/>
        </w:rPr>
      </w:pPr>
      <w:r>
        <w:rPr>
          <w:lang w:eastAsia="zh-CN" w:bidi="hi-IN"/>
        </w:rPr>
        <w:t>Deficiencia</w:t>
      </w:r>
    </w:p>
    <w:p w:rsidR="001E7B38" w:rsidRDefault="001E7B38" w:rsidP="001E7B38">
      <w:pPr>
        <w:rPr>
          <w:lang w:eastAsia="zh-CN" w:bidi="hi-IN"/>
        </w:rPr>
      </w:pPr>
    </w:p>
    <w:p w:rsidR="00D67B4B" w:rsidRDefault="00F01EA7" w:rsidP="00D67B4B">
      <w:pPr>
        <w:rPr>
          <w:lang w:eastAsia="zh-CN" w:bidi="hi-IN"/>
        </w:rPr>
      </w:pPr>
      <w:r>
        <w:rPr>
          <w:lang w:eastAsia="zh-CN" w:bidi="hi-IN"/>
        </w:rPr>
        <w:t>En lo que se refiere a la suplementación, normalmente se suministra a un grupo específico de la población, especialmente a embarazadas, mujeres lactantes, niños de 6-18 meses, a deportistas que tienen pérdidas muy grandes y a aquellos pacientes que padecen de anemia.</w:t>
      </w:r>
      <w:r w:rsidR="00D67B4B">
        <w:rPr>
          <w:lang w:eastAsia="zh-CN" w:bidi="hi-IN"/>
        </w:rPr>
        <w:t xml:space="preserve"> En este último caso, Esto se logra de forma más simple y económica con sulfato ferroso 200 mg dos veces al día y debe continuarse durante 3 meses.</w:t>
      </w:r>
    </w:p>
    <w:p w:rsidR="00D67B4B" w:rsidRDefault="00D67B4B" w:rsidP="00F01EA7">
      <w:pPr>
        <w:rPr>
          <w:lang w:eastAsia="zh-CN" w:bidi="hi-IN"/>
        </w:rPr>
      </w:pPr>
      <w:r>
        <w:rPr>
          <w:lang w:eastAsia="zh-CN" w:bidi="hi-IN"/>
        </w:rPr>
        <w:t xml:space="preserve">Para aquellos intolerantes o que no responden al hierro oral, hay tres preparaciones parenterales disponibles. </w:t>
      </w:r>
      <w:r w:rsidRPr="00D4451F">
        <w:rPr>
          <w:lang w:eastAsia="zh-CN" w:bidi="hi-IN"/>
        </w:rPr>
        <w:t>Las transfusiones de sangre deben reservarse para los pacientes con anemia sintomática a pesar del tratamiento con hierro o con riesgo de inestabilidad cardiovascular debido a su grado de anemia</w:t>
      </w:r>
      <w:r>
        <w:rPr>
          <w:lang w:eastAsia="zh-CN" w:bidi="hi-IN"/>
        </w:rPr>
        <w:t xml:space="preserve">. </w:t>
      </w:r>
      <w:r>
        <w:rPr>
          <w:lang w:eastAsia="zh-CN" w:bidi="hi-IN"/>
        </w:rPr>
        <w:fldChar w:fldCharType="begin" w:fldLock="1"/>
      </w:r>
      <w:r>
        <w:rPr>
          <w:lang w:eastAsia="zh-CN" w:bidi="hi-IN"/>
        </w:rPr>
        <w:instrText>ADDIN CSL_CITATION { "citationItems" : [ { "id" : "ITEM-1", "itemData" : { "DOI" : "10.1136/gut.2010.228874", "ISSN" : "1468-3288", "PMID" : "21561874", "abstract" : "BACKGROUND Iron deficiency anaemia (IDA) occurs in 2-5% of adult men and postmenopausal women in the developed world and is a common cause of referral to gastroenterologists. Gastrointestinal (GI) blood loss from colonic cancer or gastric cancer, and malabsorption in coeliac disease are the most important causes that need to be sought. DEFINING IRON DEFICIENCY ANAEMIA: The lower limit of the normal range for the laboratory performing the test should be used to define anaemia (B). Any level of anaemia should be investigated in the presence of iron deficiency (B). The lower the haemoglobin the more likely there is to be serious underlying pathology and the more urgent is the need for investigation (B). Red cell indices provide a sensitive indication of iron deficiency in the absence of chronic disease or haemoglobinopathy (A). Haemoglobin electrophoresis is recommended when microcytosis and hypochromia are present in patients of appropriate ethnic background to prevent unnecessary GI investigation (C). Serum ferritin is the most powerful test for iron deficiency (A). INVESTIGATIONS Upper and lower GI investigations should be considered in all postmenopausal female and all male patients where IDA has been confirmed unless there is a history of significant overt non-GI blood loss (A). All patients should be screened for coeliac disease (B). If oesophagogastroduodenoscopy (OGD) is performed as the initial GI investigation, only the presence of advanced gastric cancer or coeliac disease should deter lower GI investigation (B). In patients aged &gt;50 or with marked anaemia or a significant family history of colorectal carcinoma, lower GI investigation should still be considered even if coeliac disease is found (B). Colonoscopy has advantages over CT colography for investigation of the lower GI tract in IDA, but either is acceptable (B). Either is preferable to barium enema, which is useful if they are not available. Further direct visualisation of the small bowel is not necessary unless there are symptoms suggestive of small bowel disease, or if the haemoglobin cannot be restored or maintained with iron therapy (B). In patients with recurrent IDA and normal OGD and colonoscopy results, Helicobacter pylori should be eradicated if present. (C). Faecal occult blood testing is of no benefit in the investigation of IDA (B). All premenopausal women with IDA should be screened for coeliac disease, but other upper and lower GI investigation should be reserved for those \u2026", "author" : [ { "dropping-particle" : "", "family" : "Goddard", "given" : "Andrew F", "non-dropping-particle" : "", "parse-names" : false, "suffix" : "" }, { "dropping-particle" : "", "family" : "James", "given" : "Martin W", "non-dropping-particle" : "", "parse-names" : false, "suffix" : "" }, { "dropping-particle" : "", "family" : "McIntyre", "given" : "Alistair S", "non-dropping-particle" : "", "parse-names" : false, "suffix" : "" }, { "dropping-particle" : "", "family" : "Scott", "given" : "Brian B", "non-dropping-particle" : "", "parse-names" : false, "suffix" : "" }, { "dropping-particle" : "", "family" : "British Society of Gastroenterology", "given" : "", "non-dropping-particle" : "", "parse-names" : false, "suffix" : "" } ], "container-title" : "Gut", "id" : "ITEM-1", "issue" : "10", "issued" : { "date-parts" : [ [ "2011", "10", "1" ] ] }, "page" : "1309-16", "publisher" : "BMJ Publishing Group", "title" : "Guidelines for the management of iron deficiency anaemia.", "type" : "article-journal", "volume" : "60" }, "uris" : [ "http://www.mendeley.com/documents/?uuid=a74fad5a-b312-323c-b713-76243dbfcd08" ] } ], "mendeley" : { "formattedCitation" : "(4)", "plainTextFormattedCitation" : "(4)", "previouslyFormattedCitation" : "(4)" }, "properties" : {  }, "schema" : "https://github.com/citation-style-language/schema/raw/master/csl-citation.json" }</w:instrText>
      </w:r>
      <w:r>
        <w:rPr>
          <w:lang w:eastAsia="zh-CN" w:bidi="hi-IN"/>
        </w:rPr>
        <w:fldChar w:fldCharType="separate"/>
      </w:r>
      <w:r w:rsidRPr="007C3AEE">
        <w:rPr>
          <w:noProof/>
          <w:lang w:eastAsia="zh-CN" w:bidi="hi-IN"/>
        </w:rPr>
        <w:t>(4)</w:t>
      </w:r>
      <w:r>
        <w:rPr>
          <w:lang w:eastAsia="zh-CN" w:bidi="hi-IN"/>
        </w:rPr>
        <w:fldChar w:fldCharType="end"/>
      </w:r>
    </w:p>
    <w:p w:rsidR="00D67B4B" w:rsidRDefault="00F01EA7" w:rsidP="00F01EA7">
      <w:pPr>
        <w:rPr>
          <w:lang w:eastAsia="zh-CN" w:bidi="hi-IN"/>
        </w:rPr>
      </w:pPr>
      <w:r>
        <w:rPr>
          <w:lang w:eastAsia="zh-CN" w:bidi="hi-IN"/>
        </w:rPr>
        <w:lastRenderedPageBreak/>
        <w:t>La suplementación de hierro suele ir complementada con ácido fólico, especialmente favorable para las embarazadas y antes de la concepción, no teniendo efectos secundarios descritos. En concreto los suplementos de hierro se complementan con vitamina A, C, B12 (hígado de ternera, arenque, caviar o sardinas) y ácido fólico (legumbre</w:t>
      </w:r>
      <w:r w:rsidR="00D67B4B">
        <w:rPr>
          <w:lang w:eastAsia="zh-CN" w:bidi="hi-IN"/>
        </w:rPr>
        <w:t xml:space="preserve">s), ya que el déficit de alguno </w:t>
      </w:r>
      <w:r>
        <w:rPr>
          <w:lang w:eastAsia="zh-CN" w:bidi="hi-IN"/>
        </w:rPr>
        <w:t>de estos puede influir negativamente en la sín</w:t>
      </w:r>
      <w:r w:rsidR="00D67B4B">
        <w:rPr>
          <w:lang w:eastAsia="zh-CN" w:bidi="hi-IN"/>
        </w:rPr>
        <w:t>tesis de hemoglobina</w:t>
      </w:r>
      <w:r>
        <w:rPr>
          <w:lang w:eastAsia="zh-CN" w:bidi="hi-IN"/>
        </w:rPr>
        <w:t xml:space="preserve"> y en la absorc</w:t>
      </w:r>
      <w:r w:rsidR="00D67B4B">
        <w:rPr>
          <w:lang w:eastAsia="zh-CN" w:bidi="hi-IN"/>
        </w:rPr>
        <w:t>ión (vitamina C) o movilización del hierro</w:t>
      </w:r>
      <w:r>
        <w:rPr>
          <w:lang w:eastAsia="zh-CN" w:bidi="hi-IN"/>
        </w:rPr>
        <w:t>, co</w:t>
      </w:r>
      <w:r w:rsidR="00082E8B">
        <w:rPr>
          <w:lang w:eastAsia="zh-CN" w:bidi="hi-IN"/>
        </w:rPr>
        <w:t>mo es el caso de la vitamina A.</w:t>
      </w:r>
    </w:p>
    <w:p w:rsidR="00D67B4B" w:rsidRDefault="00F01EA7" w:rsidP="00F01EA7">
      <w:pPr>
        <w:rPr>
          <w:lang w:eastAsia="zh-CN" w:bidi="hi-IN"/>
        </w:rPr>
      </w:pPr>
      <w:r>
        <w:rPr>
          <w:lang w:eastAsia="zh-CN" w:bidi="hi-IN"/>
        </w:rPr>
        <w:t>No obstante, la supleme</w:t>
      </w:r>
      <w:r w:rsidR="00D67B4B">
        <w:rPr>
          <w:lang w:eastAsia="zh-CN" w:bidi="hi-IN"/>
        </w:rPr>
        <w:t xml:space="preserve">ntación de hierro puede inducir </w:t>
      </w:r>
      <w:r>
        <w:rPr>
          <w:lang w:eastAsia="zh-CN" w:bidi="hi-IN"/>
        </w:rPr>
        <w:t>alteraciones gastrointes</w:t>
      </w:r>
      <w:r w:rsidR="00D67B4B">
        <w:rPr>
          <w:lang w:eastAsia="zh-CN" w:bidi="hi-IN"/>
        </w:rPr>
        <w:t xml:space="preserve">tinales, como nauseas, vómitos, </w:t>
      </w:r>
      <w:r>
        <w:rPr>
          <w:lang w:eastAsia="zh-CN" w:bidi="hi-IN"/>
        </w:rPr>
        <w:t xml:space="preserve">dolor abdominal, acidez y/o </w:t>
      </w:r>
      <w:r w:rsidR="00D67B4B">
        <w:rPr>
          <w:lang w:eastAsia="zh-CN" w:bidi="hi-IN"/>
        </w:rPr>
        <w:t xml:space="preserve">estreñimiento, ya que </w:t>
      </w:r>
      <w:r>
        <w:rPr>
          <w:lang w:eastAsia="zh-CN" w:bidi="hi-IN"/>
        </w:rPr>
        <w:t>se suele tomar en ayu</w:t>
      </w:r>
      <w:r w:rsidR="00D67B4B">
        <w:rPr>
          <w:lang w:eastAsia="zh-CN" w:bidi="hi-IN"/>
        </w:rPr>
        <w:t xml:space="preserve">nas o junto con zumo de naranja </w:t>
      </w:r>
      <w:r>
        <w:rPr>
          <w:lang w:eastAsia="zh-CN" w:bidi="hi-IN"/>
        </w:rPr>
        <w:t>(medio ácido) para fa</w:t>
      </w:r>
      <w:r w:rsidR="00D67B4B">
        <w:rPr>
          <w:lang w:eastAsia="zh-CN" w:bidi="hi-IN"/>
        </w:rPr>
        <w:t xml:space="preserve">vorecer su absorción. Algunos </w:t>
      </w:r>
      <w:r>
        <w:rPr>
          <w:lang w:eastAsia="zh-CN" w:bidi="hi-IN"/>
        </w:rPr>
        <w:t>estudios llegan a la c</w:t>
      </w:r>
      <w:r w:rsidR="00D67B4B">
        <w:rPr>
          <w:lang w:eastAsia="zh-CN" w:bidi="hi-IN"/>
        </w:rPr>
        <w:t xml:space="preserve">onclusión de que las sustancias </w:t>
      </w:r>
      <w:proofErr w:type="spellStart"/>
      <w:r>
        <w:rPr>
          <w:lang w:eastAsia="zh-CN" w:bidi="hi-IN"/>
        </w:rPr>
        <w:t>quelantes</w:t>
      </w:r>
      <w:proofErr w:type="spellEnd"/>
      <w:r>
        <w:rPr>
          <w:lang w:eastAsia="zh-CN" w:bidi="hi-IN"/>
        </w:rPr>
        <w:t xml:space="preserve"> de hierro aumentan el es</w:t>
      </w:r>
      <w:r w:rsidR="00D67B4B">
        <w:rPr>
          <w:lang w:eastAsia="zh-CN" w:bidi="hi-IN"/>
        </w:rPr>
        <w:t xml:space="preserve">trés oxidativo y la inflamación </w:t>
      </w:r>
      <w:r>
        <w:rPr>
          <w:lang w:eastAsia="zh-CN" w:bidi="hi-IN"/>
        </w:rPr>
        <w:t>tanto en</w:t>
      </w:r>
      <w:r w:rsidR="00D67B4B">
        <w:rPr>
          <w:lang w:eastAsia="zh-CN" w:bidi="hi-IN"/>
        </w:rPr>
        <w:t xml:space="preserve"> ratas como en humanos. </w:t>
      </w:r>
    </w:p>
    <w:p w:rsidR="00D67B4B" w:rsidRDefault="00D67B4B" w:rsidP="00F01EA7">
      <w:pPr>
        <w:rPr>
          <w:lang w:eastAsia="zh-CN" w:bidi="hi-IN"/>
        </w:rPr>
      </w:pPr>
      <w:r>
        <w:rPr>
          <w:lang w:eastAsia="zh-CN" w:bidi="hi-IN"/>
        </w:rPr>
        <w:t xml:space="preserve">Por esto </w:t>
      </w:r>
      <w:r w:rsidR="00F01EA7">
        <w:rPr>
          <w:lang w:eastAsia="zh-CN" w:bidi="hi-IN"/>
        </w:rPr>
        <w:t>la frecuente utilizaci</w:t>
      </w:r>
      <w:r>
        <w:rPr>
          <w:lang w:eastAsia="zh-CN" w:bidi="hi-IN"/>
        </w:rPr>
        <w:t xml:space="preserve">ón de los suplementos de hierro </w:t>
      </w:r>
      <w:r w:rsidR="00F01EA7">
        <w:rPr>
          <w:lang w:eastAsia="zh-CN" w:bidi="hi-IN"/>
        </w:rPr>
        <w:t>como medida terapéutica y/o prevent</w:t>
      </w:r>
      <w:r>
        <w:rPr>
          <w:lang w:eastAsia="zh-CN" w:bidi="hi-IN"/>
        </w:rPr>
        <w:t xml:space="preserve">iva así como el enriquecimiento </w:t>
      </w:r>
      <w:r w:rsidR="00F01EA7">
        <w:rPr>
          <w:lang w:eastAsia="zh-CN" w:bidi="hi-IN"/>
        </w:rPr>
        <w:t>de los al</w:t>
      </w:r>
      <w:r>
        <w:rPr>
          <w:lang w:eastAsia="zh-CN" w:bidi="hi-IN"/>
        </w:rPr>
        <w:t xml:space="preserve">imentos, debería realizarse con </w:t>
      </w:r>
      <w:r w:rsidR="00F01EA7">
        <w:rPr>
          <w:lang w:eastAsia="zh-CN" w:bidi="hi-IN"/>
        </w:rPr>
        <w:t>mayor cautela ya que s</w:t>
      </w:r>
      <w:r>
        <w:rPr>
          <w:lang w:eastAsia="zh-CN" w:bidi="hi-IN"/>
        </w:rPr>
        <w:t xml:space="preserve">e necesitan más investigaciones </w:t>
      </w:r>
      <w:r w:rsidR="00F01EA7">
        <w:rPr>
          <w:lang w:eastAsia="zh-CN" w:bidi="hi-IN"/>
        </w:rPr>
        <w:t>en las que se evalúe el t</w:t>
      </w:r>
      <w:r>
        <w:rPr>
          <w:lang w:eastAsia="zh-CN" w:bidi="hi-IN"/>
        </w:rPr>
        <w:t xml:space="preserve">ipo de compuesto de hierro y la </w:t>
      </w:r>
      <w:r w:rsidR="00F01EA7">
        <w:rPr>
          <w:lang w:eastAsia="zh-CN" w:bidi="hi-IN"/>
        </w:rPr>
        <w:t>dosis, que generen un me</w:t>
      </w:r>
      <w:r>
        <w:rPr>
          <w:lang w:eastAsia="zh-CN" w:bidi="hi-IN"/>
        </w:rPr>
        <w:t>nor estrés oxidativo en las cé</w:t>
      </w:r>
      <w:r w:rsidR="00F01EA7">
        <w:rPr>
          <w:lang w:eastAsia="zh-CN" w:bidi="hi-IN"/>
        </w:rPr>
        <w:t>lulas de la mucosa del colo</w:t>
      </w:r>
      <w:r>
        <w:rPr>
          <w:lang w:eastAsia="zh-CN" w:bidi="hi-IN"/>
        </w:rPr>
        <w:t xml:space="preserve">n, y a la larga poder evitar la aparición de un cáncer. </w:t>
      </w:r>
    </w:p>
    <w:p w:rsidR="00505BF7" w:rsidRDefault="00F01EA7" w:rsidP="00384F24">
      <w:pPr>
        <w:rPr>
          <w:lang w:eastAsia="zh-CN" w:bidi="hi-IN"/>
        </w:rPr>
      </w:pPr>
      <w:r>
        <w:rPr>
          <w:lang w:eastAsia="zh-CN" w:bidi="hi-IN"/>
        </w:rPr>
        <w:t>La forma más adecua</w:t>
      </w:r>
      <w:r w:rsidR="00D67B4B">
        <w:rPr>
          <w:lang w:eastAsia="zh-CN" w:bidi="hi-IN"/>
        </w:rPr>
        <w:t xml:space="preserve">da y educativa para prevenir el </w:t>
      </w:r>
      <w:r>
        <w:rPr>
          <w:lang w:eastAsia="zh-CN" w:bidi="hi-IN"/>
        </w:rPr>
        <w:t>déficit de hierro es indudabl</w:t>
      </w:r>
      <w:r w:rsidR="00D67B4B">
        <w:rPr>
          <w:lang w:eastAsia="zh-CN" w:bidi="hi-IN"/>
        </w:rPr>
        <w:t xml:space="preserve">emente la dietética, conociendo </w:t>
      </w:r>
      <w:r>
        <w:rPr>
          <w:lang w:eastAsia="zh-CN" w:bidi="hi-IN"/>
        </w:rPr>
        <w:t>bien los factores</w:t>
      </w:r>
      <w:r w:rsidR="00D67B4B">
        <w:rPr>
          <w:lang w:eastAsia="zh-CN" w:bidi="hi-IN"/>
        </w:rPr>
        <w:t xml:space="preserve"> favorecedores e inhibidores de </w:t>
      </w:r>
      <w:r>
        <w:rPr>
          <w:lang w:eastAsia="zh-CN" w:bidi="hi-IN"/>
        </w:rPr>
        <w:t>la biodisponibilidad de h</w:t>
      </w:r>
      <w:r w:rsidR="00D67B4B">
        <w:rPr>
          <w:lang w:eastAsia="zh-CN" w:bidi="hi-IN"/>
        </w:rPr>
        <w:t xml:space="preserve">ierro, así como, cuales son los </w:t>
      </w:r>
      <w:r>
        <w:rPr>
          <w:lang w:eastAsia="zh-CN" w:bidi="hi-IN"/>
        </w:rPr>
        <w:t>alimentos ricos en hierro (</w:t>
      </w:r>
      <w:proofErr w:type="spellStart"/>
      <w:r>
        <w:rPr>
          <w:lang w:eastAsia="zh-CN" w:bidi="hi-IN"/>
        </w:rPr>
        <w:t>hemo</w:t>
      </w:r>
      <w:proofErr w:type="spellEnd"/>
      <w:r>
        <w:rPr>
          <w:lang w:eastAsia="zh-CN" w:bidi="hi-IN"/>
        </w:rPr>
        <w:t xml:space="preserve"> y/o no </w:t>
      </w:r>
      <w:proofErr w:type="spellStart"/>
      <w:r>
        <w:rPr>
          <w:lang w:eastAsia="zh-CN" w:bidi="hi-IN"/>
        </w:rPr>
        <w:t>hemo</w:t>
      </w:r>
      <w:proofErr w:type="spellEnd"/>
      <w:r>
        <w:rPr>
          <w:lang w:eastAsia="zh-CN" w:bidi="hi-IN"/>
        </w:rPr>
        <w:t xml:space="preserve">). </w:t>
      </w:r>
      <w:r w:rsidR="00D67B4B">
        <w:rPr>
          <w:lang w:eastAsia="zh-CN" w:bidi="hi-IN"/>
        </w:rPr>
        <w:t xml:space="preserve">Sin embargo, </w:t>
      </w:r>
      <w:r>
        <w:rPr>
          <w:lang w:eastAsia="zh-CN" w:bidi="hi-IN"/>
        </w:rPr>
        <w:t>no siempre es posible lograr seguir est</w:t>
      </w:r>
      <w:r w:rsidR="00D67B4B">
        <w:rPr>
          <w:lang w:eastAsia="zh-CN" w:bidi="hi-IN"/>
        </w:rPr>
        <w:t xml:space="preserve">as pautas </w:t>
      </w:r>
      <w:r>
        <w:rPr>
          <w:lang w:eastAsia="zh-CN" w:bidi="hi-IN"/>
        </w:rPr>
        <w:t>por limitaciones econ</w:t>
      </w:r>
      <w:r w:rsidR="00D67B4B">
        <w:rPr>
          <w:lang w:eastAsia="zh-CN" w:bidi="hi-IN"/>
        </w:rPr>
        <w:t xml:space="preserve">ómicas o hábitos culturales muy </w:t>
      </w:r>
      <w:r>
        <w:rPr>
          <w:lang w:eastAsia="zh-CN" w:bidi="hi-IN"/>
        </w:rPr>
        <w:t>arraigados.</w:t>
      </w:r>
      <w:r w:rsidR="00D67B4B">
        <w:rPr>
          <w:lang w:eastAsia="zh-CN" w:bidi="hi-IN"/>
        </w:rPr>
        <w:fldChar w:fldCharType="begin" w:fldLock="1"/>
      </w:r>
      <w:r w:rsidR="00D67B4B">
        <w:rPr>
          <w:lang w:eastAsia="zh-CN" w:bidi="hi-IN"/>
        </w:rPr>
        <w:instrText>ADDIN CSL_CITATION { "citationItems" : [ { "id" : "ITEM-1", "itemData" : { "author" : [ { "dropping-particle" : "", "family" : "Otegui", "given" : "Urdampilleta", "non-dropping-particle" : "", "parse-names" : false, "suffix" : "" }, { "dropping-particle" : "", "family" : "Sanz Jm", "given" : "Mart\u00ednez", "non-dropping-particle" : "", "parse-names" : false, "suffix" : "" }, { "dropping-particle" : "", "family" : "P", "given" : "Gonz\u00e1lez-Muniesa", "non-dropping-particle" : "", "parse-names" : false, "suffix" : "" } ], "id" : "ITEM-1", "issued" : { "date-parts" : [ [ "0" ] ] }, "title" : "Intervenci\u00f3n diet\u00e9tico-nutricional en la prevenci\u00f3n de la deficiencia de hierro Dietary-nutritional intervention in the prevention of iron deficiency", "type" : "article-journal" }, "uris" : [ "http://www.mendeley.com/documents/?uuid=a670c54e-357d-367a-b00e-e8b1e5cb0036" ] } ], "mendeley" : { "formattedCitation" : "(5)", "plainTextFormattedCitation" : "(5)", "previouslyFormattedCitation" : "(5)" }, "properties" : {  }, "schema" : "https://github.com/citation-style-language/schema/raw/master/csl-citation.json" }</w:instrText>
      </w:r>
      <w:r w:rsidR="00D67B4B">
        <w:rPr>
          <w:lang w:eastAsia="zh-CN" w:bidi="hi-IN"/>
        </w:rPr>
        <w:fldChar w:fldCharType="separate"/>
      </w:r>
      <w:r w:rsidR="00D67B4B" w:rsidRPr="00D67B4B">
        <w:rPr>
          <w:noProof/>
          <w:lang w:eastAsia="zh-CN" w:bidi="hi-IN"/>
        </w:rPr>
        <w:t>(5)</w:t>
      </w:r>
      <w:r w:rsidR="00D67B4B">
        <w:rPr>
          <w:lang w:eastAsia="zh-CN" w:bidi="hi-IN"/>
        </w:rPr>
        <w:fldChar w:fldCharType="end"/>
      </w:r>
    </w:p>
    <w:p w:rsidR="00B54BA4" w:rsidRDefault="00B54BA4" w:rsidP="00B54BA4"/>
    <w:p w:rsidR="00B54BA4" w:rsidRPr="00B54BA4" w:rsidRDefault="00F01EA7" w:rsidP="001E7B38">
      <w:pPr>
        <w:pStyle w:val="Ttulo4"/>
      </w:pPr>
      <w:r>
        <w:t>Factores</w:t>
      </w:r>
      <w:r w:rsidR="00B54BA4" w:rsidRPr="00B54BA4">
        <w:t xml:space="preserve"> que aumentan la </w:t>
      </w:r>
      <w:proofErr w:type="spellStart"/>
      <w:r w:rsidR="00B54BA4" w:rsidRPr="00B54BA4">
        <w:t>Bd</w:t>
      </w:r>
      <w:proofErr w:type="spellEnd"/>
    </w:p>
    <w:p w:rsidR="00B54BA4" w:rsidRDefault="00B54BA4" w:rsidP="00B54BA4">
      <w:r>
        <w:t xml:space="preserve"> </w:t>
      </w:r>
    </w:p>
    <w:p w:rsidR="00B54BA4" w:rsidRDefault="00B54BA4" w:rsidP="00B54BA4">
      <w:r w:rsidRPr="00B54BA4">
        <w:rPr>
          <w:u w:val="single"/>
        </w:rPr>
        <w:t>El ácido ascórbico (AA):</w:t>
      </w:r>
      <w:r>
        <w:t xml:space="preserve"> por su capacidad para reducir el Fe-No </w:t>
      </w:r>
      <w:proofErr w:type="spellStart"/>
      <w:r>
        <w:t>Hemo</w:t>
      </w:r>
      <w:proofErr w:type="spellEnd"/>
      <w:r>
        <w:t>.</w:t>
      </w:r>
    </w:p>
    <w:p w:rsidR="00D67B4B" w:rsidRDefault="00B54BA4" w:rsidP="00B54BA4">
      <w:r w:rsidRPr="00B54BA4">
        <w:rPr>
          <w:u w:val="single"/>
        </w:rPr>
        <w:t>El factor carne:</w:t>
      </w:r>
      <w:r>
        <w:t xml:space="preserve"> se relaciona con el contenido de aminoácidos ricos en histidinas y en enlaces </w:t>
      </w:r>
      <w:proofErr w:type="spellStart"/>
      <w:r>
        <w:t>sulfidrilos</w:t>
      </w:r>
      <w:proofErr w:type="spellEnd"/>
      <w:r>
        <w:t xml:space="preserve"> de la proteína ingerida, por esto, las carnes con alto contenido de actina y mucina son las que más aumentan la biodisponibilidad</w:t>
      </w:r>
      <w:r w:rsidR="00D92B9B">
        <w:t>.</w:t>
      </w:r>
    </w:p>
    <w:p w:rsidR="00B54BA4" w:rsidRDefault="00B54BA4" w:rsidP="00B54BA4">
      <w:r w:rsidRPr="00D92B9B">
        <w:rPr>
          <w:u w:val="single"/>
        </w:rPr>
        <w:t>La vitamina A:</w:t>
      </w:r>
      <w:r>
        <w:t xml:space="preserve"> es necesaria para la movilización de las reservas de Fe y para la reutilización del mis</w:t>
      </w:r>
      <w:r w:rsidR="00D92B9B">
        <w:t xml:space="preserve">mo durante la hematopoyesis, además los </w:t>
      </w:r>
      <w:proofErr w:type="spellStart"/>
      <w:r w:rsidR="00D92B9B">
        <w:t>beta</w:t>
      </w:r>
      <w:r>
        <w:t>carotenos</w:t>
      </w:r>
      <w:proofErr w:type="spellEnd"/>
      <w:r>
        <w:t xml:space="preserve"> contribuyan en la </w:t>
      </w:r>
      <w:proofErr w:type="spellStart"/>
      <w:r>
        <w:t>solubilización</w:t>
      </w:r>
      <w:proofErr w:type="spellEnd"/>
      <w:r>
        <w:t xml:space="preserve"> </w:t>
      </w:r>
      <w:r w:rsidR="00D92B9B">
        <w:t xml:space="preserve">del Fe No </w:t>
      </w:r>
      <w:proofErr w:type="spellStart"/>
      <w:r w:rsidR="00D92B9B">
        <w:t>Hemo</w:t>
      </w:r>
      <w:proofErr w:type="spellEnd"/>
      <w:r w:rsidR="00D92B9B">
        <w:t>.</w:t>
      </w:r>
      <w:r w:rsidR="00F01EA7">
        <w:t xml:space="preserve"> </w:t>
      </w:r>
      <w:r w:rsidR="00F01EA7">
        <w:fldChar w:fldCharType="begin" w:fldLock="1"/>
      </w:r>
      <w:r w:rsidR="00F01EA7">
        <w:instrText>ADDIN CSL_CITATION { "citationItems" : [ { "id" : "ITEM-1", "itemData" : { "author" : [ { "dropping-particle" : "", "family" : "Otegui", "given" : "Urdampilleta", "non-dropping-particle" : "", "parse-names" : false, "suffix" : "" }, { "dropping-particle" : "", "family" : "Sanz Jm", "given" : "Mart\u00ednez", "non-dropping-particle" : "", "parse-names" : false, "suffix" : "" }, { "dropping-particle" : "", "family" : "P", "given" : "Gonz\u00e1lez-Muniesa", "non-dropping-particle" : "", "parse-names" : false, "suffix" : "" } ], "id" : "ITEM-1", "issued" : { "date-parts" : [ [ "0" ] ] }, "title" : "Intervenci\u00f3n diet\u00e9tico-nutricional en la prevenci\u00f3n de la deficiencia de hierro Dietary-nutritional intervention in the prevention of iron deficiency", "type" : "article-journal" }, "uris" : [ "http://www.mendeley.com/documents/?uuid=a670c54e-357d-367a-b00e-e8b1e5cb0036" ] } ], "mendeley" : { "formattedCitation" : "(5)", "plainTextFormattedCitation" : "(5)", "previouslyFormattedCitation" : "(5)" }, "properties" : {  }, "schema" : "https://github.com/citation-style-language/schema/raw/master/csl-citation.json" }</w:instrText>
      </w:r>
      <w:r w:rsidR="00F01EA7">
        <w:fldChar w:fldCharType="separate"/>
      </w:r>
      <w:r w:rsidR="00F01EA7" w:rsidRPr="00F01EA7">
        <w:rPr>
          <w:noProof/>
        </w:rPr>
        <w:t>(5)</w:t>
      </w:r>
      <w:r w:rsidR="00F01EA7">
        <w:fldChar w:fldCharType="end"/>
      </w:r>
    </w:p>
    <w:p w:rsidR="00D67B4B" w:rsidRDefault="00D67B4B" w:rsidP="00B54BA4"/>
    <w:p w:rsidR="00D67B4B" w:rsidRDefault="00D67B4B" w:rsidP="00B54BA4"/>
    <w:p w:rsidR="00F01EA7" w:rsidRDefault="00F01EA7" w:rsidP="00B54BA4"/>
    <w:p w:rsidR="00F01EA7" w:rsidRDefault="00F01EA7" w:rsidP="00B54BA4"/>
    <w:p w:rsidR="00F01EA7" w:rsidRDefault="00D67B4B" w:rsidP="00B54BA4">
      <w:r>
        <w:rPr>
          <w:noProof/>
          <w:lang w:eastAsia="es-ES"/>
        </w:rPr>
        <w:lastRenderedPageBreak/>
        <w:drawing>
          <wp:anchor distT="0" distB="0" distL="114300" distR="114300" simplePos="0" relativeHeight="251645440" behindDoc="0" locked="0" layoutInCell="1" allowOverlap="1" wp14:anchorId="7686D75E" wp14:editId="2E0128E3">
            <wp:simplePos x="0" y="0"/>
            <wp:positionH relativeFrom="margin">
              <wp:posOffset>46990</wp:posOffset>
            </wp:positionH>
            <wp:positionV relativeFrom="margin">
              <wp:posOffset>10160</wp:posOffset>
            </wp:positionV>
            <wp:extent cx="5191125" cy="34721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813" t="22904" r="25035" b="16231"/>
                    <a:stretch/>
                  </pic:blipFill>
                  <pic:spPr bwMode="auto">
                    <a:xfrm>
                      <a:off x="0" y="0"/>
                      <a:ext cx="5191125" cy="3472180"/>
                    </a:xfrm>
                    <a:prstGeom prst="rect">
                      <a:avLst/>
                    </a:prstGeom>
                    <a:ln>
                      <a:noFill/>
                    </a:ln>
                    <a:extLst>
                      <a:ext uri="{53640926-AAD7-44D8-BBD7-CCE9431645EC}">
                        <a14:shadowObscured xmlns:a14="http://schemas.microsoft.com/office/drawing/2010/main"/>
                      </a:ext>
                    </a:extLst>
                  </pic:spPr>
                </pic:pic>
              </a:graphicData>
            </a:graphic>
          </wp:anchor>
        </w:drawing>
      </w:r>
    </w:p>
    <w:p w:rsidR="00F01EA7" w:rsidRDefault="00F01EA7" w:rsidP="00B54BA4"/>
    <w:p w:rsidR="00D92B9B" w:rsidRDefault="00F01EA7" w:rsidP="001E7B38">
      <w:pPr>
        <w:pStyle w:val="Ttulo4"/>
      </w:pPr>
      <w:r>
        <w:t>Factores</w:t>
      </w:r>
      <w:r w:rsidR="00D92B9B">
        <w:t xml:space="preserve"> que disminuyen la </w:t>
      </w:r>
      <w:proofErr w:type="spellStart"/>
      <w:r w:rsidR="00D92B9B">
        <w:t>Bd</w:t>
      </w:r>
      <w:proofErr w:type="spellEnd"/>
    </w:p>
    <w:p w:rsidR="00B54BA4" w:rsidRDefault="00B54BA4" w:rsidP="00B54BA4"/>
    <w:p w:rsidR="00B54BA4" w:rsidRDefault="00D92B9B" w:rsidP="00B54BA4">
      <w:proofErr w:type="spellStart"/>
      <w:r w:rsidRPr="00D92B9B">
        <w:rPr>
          <w:u w:val="single"/>
        </w:rPr>
        <w:t>F</w:t>
      </w:r>
      <w:r w:rsidR="00B54BA4" w:rsidRPr="00D92B9B">
        <w:rPr>
          <w:u w:val="single"/>
        </w:rPr>
        <w:t>itato</w:t>
      </w:r>
      <w:r>
        <w:rPr>
          <w:u w:val="single"/>
        </w:rPr>
        <w:t>s</w:t>
      </w:r>
      <w:proofErr w:type="spellEnd"/>
      <w:r w:rsidR="00B54BA4" w:rsidRPr="00D92B9B">
        <w:rPr>
          <w:u w:val="single"/>
        </w:rPr>
        <w:t>:</w:t>
      </w:r>
      <w:r w:rsidR="00B54BA4">
        <w:t xml:space="preserve"> compuesto une eficientemente varios metales en el </w:t>
      </w:r>
      <w:r>
        <w:t>duodeno inhibiendo su absorción.</w:t>
      </w:r>
      <w:r w:rsidR="00B54BA4">
        <w:t xml:space="preserve"> </w:t>
      </w:r>
    </w:p>
    <w:p w:rsidR="00B54BA4" w:rsidRDefault="00B54BA4" w:rsidP="00B54BA4">
      <w:r w:rsidRPr="00D92B9B">
        <w:rPr>
          <w:u w:val="single"/>
        </w:rPr>
        <w:t>Los minerales:</w:t>
      </w:r>
      <w:r>
        <w:t xml:space="preserve"> el efecto del calcio (Ca), cinc (Zn), cobre (Cu) y manganeso (Mn) en la biodisponibilidad del Fe</w:t>
      </w:r>
      <w:r w:rsidR="00D92B9B">
        <w:t xml:space="preserve">, </w:t>
      </w:r>
      <w:r>
        <w:t xml:space="preserve">estos minerales se debe a que compiten por los trasportadores de membrana de los </w:t>
      </w:r>
      <w:proofErr w:type="spellStart"/>
      <w:r>
        <w:t>enterocitos</w:t>
      </w:r>
      <w:proofErr w:type="spellEnd"/>
      <w:r w:rsidR="00D92B9B">
        <w:t>.</w:t>
      </w:r>
      <w:r>
        <w:t xml:space="preserve"> </w:t>
      </w:r>
      <w:r w:rsidR="00F01EA7">
        <w:fldChar w:fldCharType="begin" w:fldLock="1"/>
      </w:r>
      <w:r w:rsidR="00F01EA7">
        <w:instrText>ADDIN CSL_CITATION { "citationItems" : [ { "id" : "ITEM-1", "itemData" : { "author" : [ { "dropping-particle" : "", "family" : "Otegui", "given" : "Urdampilleta", "non-dropping-particle" : "", "parse-names" : false, "suffix" : "" }, { "dropping-particle" : "", "family" : "Sanz Jm", "given" : "Mart\u00ednez", "non-dropping-particle" : "", "parse-names" : false, "suffix" : "" }, { "dropping-particle" : "", "family" : "P", "given" : "Gonz\u00e1lez-Muniesa", "non-dropping-particle" : "", "parse-names" : false, "suffix" : "" } ], "id" : "ITEM-1", "issued" : { "date-parts" : [ [ "0" ] ] }, "title" : "Intervenci\u00f3n diet\u00e9tico-nutricional en la prevenci\u00f3n de la deficiencia de hierro Dietary-nutritional intervention in the prevention of iron deficiency", "type" : "article-journal" }, "uris" : [ "http://www.mendeley.com/documents/?uuid=a670c54e-357d-367a-b00e-e8b1e5cb0036" ] } ], "mendeley" : { "formattedCitation" : "(5)", "plainTextFormattedCitation" : "(5)", "previouslyFormattedCitation" : "(5)" }, "properties" : {  }, "schema" : "https://github.com/citation-style-language/schema/raw/master/csl-citation.json" }</w:instrText>
      </w:r>
      <w:r w:rsidR="00F01EA7">
        <w:fldChar w:fldCharType="separate"/>
      </w:r>
      <w:r w:rsidR="00F01EA7" w:rsidRPr="00F01EA7">
        <w:rPr>
          <w:noProof/>
        </w:rPr>
        <w:t>(5)</w:t>
      </w:r>
      <w:r w:rsidR="00F01EA7">
        <w:fldChar w:fldCharType="end"/>
      </w:r>
    </w:p>
    <w:p w:rsidR="001E7B38" w:rsidRDefault="001E7B38" w:rsidP="00B54BA4"/>
    <w:p w:rsidR="00F01EA7" w:rsidRDefault="00F01EA7" w:rsidP="00B54BA4">
      <w:r>
        <w:rPr>
          <w:noProof/>
          <w:lang w:eastAsia="es-ES"/>
        </w:rPr>
        <w:drawing>
          <wp:inline distT="0" distB="0" distL="0" distR="0" wp14:anchorId="0F9AC4B8" wp14:editId="46BD0C58">
            <wp:extent cx="5372100" cy="26304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12" t="34825" r="25035" b="20623"/>
                    <a:stretch/>
                  </pic:blipFill>
                  <pic:spPr bwMode="auto">
                    <a:xfrm>
                      <a:off x="0" y="0"/>
                      <a:ext cx="5384851" cy="2636721"/>
                    </a:xfrm>
                    <a:prstGeom prst="rect">
                      <a:avLst/>
                    </a:prstGeom>
                    <a:ln>
                      <a:noFill/>
                    </a:ln>
                    <a:extLst>
                      <a:ext uri="{53640926-AAD7-44D8-BBD7-CCE9431645EC}">
                        <a14:shadowObscured xmlns:a14="http://schemas.microsoft.com/office/drawing/2010/main"/>
                      </a:ext>
                    </a:extLst>
                  </pic:spPr>
                </pic:pic>
              </a:graphicData>
            </a:graphic>
          </wp:inline>
        </w:drawing>
      </w:r>
    </w:p>
    <w:p w:rsidR="00F01EA7" w:rsidRDefault="00F01EA7" w:rsidP="00B54BA4"/>
    <w:p w:rsidR="00EC7530" w:rsidRDefault="00EC7530" w:rsidP="00EC7530">
      <w:pPr>
        <w:pStyle w:val="Ttulo4"/>
      </w:pPr>
      <w:r>
        <w:lastRenderedPageBreak/>
        <w:t>Ejemplo de distribución de alimentos para el tratamiento dietético</w:t>
      </w:r>
    </w:p>
    <w:p w:rsidR="00EC7530" w:rsidRDefault="00EC7530" w:rsidP="00EC7530"/>
    <w:p w:rsidR="00EC7530" w:rsidRPr="00EC7530" w:rsidRDefault="00EC7530" w:rsidP="00EC7530">
      <w:r>
        <w:rPr>
          <w:noProof/>
          <w:lang w:eastAsia="es-ES"/>
        </w:rPr>
        <w:drawing>
          <wp:inline distT="0" distB="0" distL="0" distR="0" wp14:anchorId="00C3B234" wp14:editId="6E982413">
            <wp:extent cx="5340287" cy="1847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12" t="41100" r="25211" b="27526"/>
                    <a:stretch/>
                  </pic:blipFill>
                  <pic:spPr bwMode="auto">
                    <a:xfrm>
                      <a:off x="0" y="0"/>
                      <a:ext cx="5346102" cy="1849862"/>
                    </a:xfrm>
                    <a:prstGeom prst="rect">
                      <a:avLst/>
                    </a:prstGeom>
                    <a:ln>
                      <a:noFill/>
                    </a:ln>
                    <a:extLst>
                      <a:ext uri="{53640926-AAD7-44D8-BBD7-CCE9431645EC}">
                        <a14:shadowObscured xmlns:a14="http://schemas.microsoft.com/office/drawing/2010/main"/>
                      </a:ext>
                    </a:extLst>
                  </pic:spPr>
                </pic:pic>
              </a:graphicData>
            </a:graphic>
          </wp:inline>
        </w:drawing>
      </w:r>
    </w:p>
    <w:p w:rsidR="00EC7530" w:rsidRDefault="00EC7530" w:rsidP="00082E8B">
      <w:pPr>
        <w:pStyle w:val="Ttulo2"/>
      </w:pPr>
    </w:p>
    <w:p w:rsidR="00EC7530" w:rsidRDefault="00EC7530" w:rsidP="00082E8B">
      <w:pPr>
        <w:pStyle w:val="Ttulo2"/>
      </w:pPr>
      <w:r>
        <w:rPr>
          <w:noProof/>
          <w:lang w:eastAsia="es-ES"/>
        </w:rPr>
        <w:drawing>
          <wp:inline distT="0" distB="0" distL="0" distR="0" wp14:anchorId="4BFC8212" wp14:editId="3116C9C0">
            <wp:extent cx="5418455" cy="1907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12" t="27470" r="24859" b="40389"/>
                    <a:stretch/>
                  </pic:blipFill>
                  <pic:spPr bwMode="auto">
                    <a:xfrm>
                      <a:off x="0" y="0"/>
                      <a:ext cx="5474160" cy="1927098"/>
                    </a:xfrm>
                    <a:prstGeom prst="rect">
                      <a:avLst/>
                    </a:prstGeom>
                    <a:ln>
                      <a:noFill/>
                    </a:ln>
                    <a:extLst>
                      <a:ext uri="{53640926-AAD7-44D8-BBD7-CCE9431645EC}">
                        <a14:shadowObscured xmlns:a14="http://schemas.microsoft.com/office/drawing/2010/main"/>
                      </a:ext>
                    </a:extLst>
                  </pic:spPr>
                </pic:pic>
              </a:graphicData>
            </a:graphic>
          </wp:inline>
        </w:drawing>
      </w:r>
    </w:p>
    <w:p w:rsidR="00EC7530" w:rsidRDefault="00EC7530" w:rsidP="00082E8B">
      <w:pPr>
        <w:pStyle w:val="Ttulo2"/>
      </w:pPr>
    </w:p>
    <w:p w:rsidR="00EC7530" w:rsidRDefault="00EC7530" w:rsidP="00082E8B">
      <w:pPr>
        <w:pStyle w:val="Ttulo2"/>
      </w:pPr>
    </w:p>
    <w:p w:rsidR="00082E8B" w:rsidRDefault="00082E8B" w:rsidP="00082E8B">
      <w:pPr>
        <w:pStyle w:val="Ttulo2"/>
      </w:pPr>
      <w:r>
        <w:t>Vegetarianos y veganos</w:t>
      </w:r>
    </w:p>
    <w:p w:rsidR="00082E8B" w:rsidRDefault="00082E8B" w:rsidP="00082E8B"/>
    <w:p w:rsidR="00082E8B" w:rsidRDefault="00EC7530" w:rsidP="00082E8B">
      <w:r>
        <w:t>S</w:t>
      </w:r>
      <w:r w:rsidR="00082E8B">
        <w:t xml:space="preserve">abemos que la presencia de </w:t>
      </w:r>
      <w:proofErr w:type="spellStart"/>
      <w:r w:rsidR="00082E8B">
        <w:t>Vit</w:t>
      </w:r>
      <w:proofErr w:type="spellEnd"/>
      <w:r w:rsidR="00082E8B">
        <w:t xml:space="preserve"> C acompañando la ingesta de alimentos ricos en hierro favorece en gran medida la absorción, tanto por que contrarresta los </w:t>
      </w:r>
      <w:proofErr w:type="spellStart"/>
      <w:r w:rsidR="00082E8B">
        <w:t>fitatos</w:t>
      </w:r>
      <w:proofErr w:type="spellEnd"/>
      <w:r w:rsidR="00082E8B">
        <w:t xml:space="preserve"> como por que reduce el hierro de su forma férrica a ferrosa que es más absorbible. Por lo que, </w:t>
      </w:r>
      <w:r>
        <w:t>acompañar</w:t>
      </w:r>
      <w:r w:rsidR="00082E8B">
        <w:t xml:space="preserve"> la ingesta de alimentos vegetales ricos en hierro con alimentos ricos en vitamina C, así como aconsejar que se separe la toma de café y té de las comidas principales para evitar la interacción con los taninos que estas bebidas contienen.</w:t>
      </w:r>
    </w:p>
    <w:p w:rsidR="00082E8B" w:rsidRDefault="00082E8B" w:rsidP="00082E8B">
      <w:r>
        <w:t>Así mismo se ha demostrado que usar cacerolas o sartenes de hierro, transmite moléculas de este mineral a la comida (especialmente a comidas ácidas como la salsa de tomate) por lo que su uso puede resultar de interés en población vegetariana.</w:t>
      </w:r>
      <w:r w:rsidR="00EC7530">
        <w:t xml:space="preserve"> </w:t>
      </w:r>
      <w:r>
        <w:t xml:space="preserve">También es de remarcar que técnicas de cocina habituales como el remojo de las legumbres, su germinado, la fermentación del pan o el tostado de los frutos secos contrarrestan el efecto de los </w:t>
      </w:r>
      <w:proofErr w:type="spellStart"/>
      <w:r>
        <w:t>fitatos</w:t>
      </w:r>
      <w:proofErr w:type="spellEnd"/>
      <w:r>
        <w:t xml:space="preserve"> aumentando la biodisponibilidad de los minerales contenidos en el alimento, como ya explicamos aquí.</w:t>
      </w:r>
    </w:p>
    <w:p w:rsidR="00082E8B" w:rsidRDefault="00082E8B" w:rsidP="00082E8B">
      <w:r>
        <w:t>Es importante también tener en cuenta, que en caso de que se estén tomando suplementos de calcio, se separe la toma de las comidas principales para evitar su interacció</w:t>
      </w:r>
      <w:r w:rsidR="00EC7530">
        <w:t>n con el hierro de la dieta.</w:t>
      </w:r>
    </w:p>
    <w:p w:rsidR="00EC7530" w:rsidRDefault="00EC7530" w:rsidP="00082E8B">
      <w:r>
        <w:lastRenderedPageBreak/>
        <w:t>En resumen, l</w:t>
      </w:r>
      <w:r w:rsidR="00082E8B">
        <w:t xml:space="preserve">a mayor presencia de </w:t>
      </w:r>
      <w:proofErr w:type="spellStart"/>
      <w:r w:rsidR="00082E8B">
        <w:t>Vit</w:t>
      </w:r>
      <w:proofErr w:type="spellEnd"/>
      <w:r w:rsidR="00082E8B">
        <w:t xml:space="preserve"> C en dietas vegetarianas, junto con la adaptación a ingestas bajas de Fe, explica la baja prevalencia de anemia en el colectivo vegetariano a pesar de la menor biodisponibilidad dietética de las fuentes de hierro vegetal. </w:t>
      </w:r>
      <w:r>
        <w:t xml:space="preserve">Si bien la </w:t>
      </w:r>
      <w:proofErr w:type="spellStart"/>
      <w:r w:rsidRPr="00082E8B">
        <w:t>Academy</w:t>
      </w:r>
      <w:proofErr w:type="spellEnd"/>
      <w:r w:rsidRPr="00082E8B">
        <w:t xml:space="preserve"> of </w:t>
      </w:r>
      <w:proofErr w:type="spellStart"/>
      <w:r w:rsidRPr="00082E8B">
        <w:t>Nutrition</w:t>
      </w:r>
      <w:proofErr w:type="spellEnd"/>
      <w:r w:rsidRPr="00082E8B">
        <w:t xml:space="preserve"> </w:t>
      </w:r>
      <w:proofErr w:type="spellStart"/>
      <w:r w:rsidRPr="00082E8B">
        <w:t>ans</w:t>
      </w:r>
      <w:proofErr w:type="spellEnd"/>
      <w:r w:rsidRPr="00082E8B">
        <w:t xml:space="preserve"> </w:t>
      </w:r>
      <w:proofErr w:type="spellStart"/>
      <w:r w:rsidRPr="00082E8B">
        <w:t>Dietetics</w:t>
      </w:r>
      <w:proofErr w:type="spellEnd"/>
      <w:r>
        <w:t>, recomienda que la ingesta de hierro en este colectivo sea 1,8 veces superior, n</w:t>
      </w:r>
      <w:r w:rsidR="00082E8B">
        <w:t>o parece que recomendar suplementación por norma sea necesario ni prudente por existir riesgo de sobrepasar los límites de seguridad, riesgo que no parece necesario correr puesto que no parce que el hierro sea un nutriente que dé más problemas en vegetar</w:t>
      </w:r>
      <w:r>
        <w:t xml:space="preserve">ianos que en población general. Únicamente cuando exista un déficit diagnosticado, y en la dosis y forma que indique el facultativo. </w:t>
      </w:r>
      <w:r>
        <w:fldChar w:fldCharType="begin" w:fldLock="1"/>
      </w:r>
      <w:r>
        <w:instrText>ADDIN CSL_CITATION { "citationItems" : [ { "id" : "ITEM-1", "itemData" : { "URL" : "http://www.dimequecomes.com/2014/08/hierro-en-la-dieta-vegetariana-cuanto.html", "accessed" : { "date-parts" : [ [ "2017", "12", "7" ] ] }, "id" : "ITEM-1", "issued" : { "date-parts" : [ [ "0" ] ] }, "title" : "DIME QUE COMES : HIERRO EN LA DIETA VEGETARIANA, \u00bfCU\u00c1NTO?", "type" : "webpage" }, "uris" : [ "http://www.mendeley.com/documents/?uuid=cc774df8-0994-3e0f-9e02-9bc72766bb65" ] } ], "mendeley" : { "formattedCitation" : "(6)", "plainTextFormattedCitation" : "(6)", "previouslyFormattedCitation" : "(6)" }, "properties" : {  }, "schema" : "https://github.com/citation-style-language/schema/raw/master/csl-citation.json" }</w:instrText>
      </w:r>
      <w:r>
        <w:fldChar w:fldCharType="separate"/>
      </w:r>
      <w:r w:rsidRPr="00EC7530">
        <w:rPr>
          <w:noProof/>
        </w:rPr>
        <w:t>(6)</w:t>
      </w:r>
      <w:r>
        <w:fldChar w:fldCharType="end"/>
      </w:r>
    </w:p>
    <w:p w:rsidR="00082E8B" w:rsidRDefault="00EC7530" w:rsidP="00EC7530">
      <w:r>
        <w:rPr>
          <w:noProof/>
          <w:lang w:eastAsia="es-ES"/>
        </w:rPr>
        <w:drawing>
          <wp:inline distT="0" distB="0" distL="0" distR="0" wp14:anchorId="41ED4B49" wp14:editId="05CAA4C7">
            <wp:extent cx="5421431" cy="25050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12" t="42355" r="25035" b="15603"/>
                    <a:stretch/>
                  </pic:blipFill>
                  <pic:spPr bwMode="auto">
                    <a:xfrm>
                      <a:off x="0" y="0"/>
                      <a:ext cx="5444324" cy="2515653"/>
                    </a:xfrm>
                    <a:prstGeom prst="rect">
                      <a:avLst/>
                    </a:prstGeom>
                    <a:ln>
                      <a:noFill/>
                    </a:ln>
                    <a:extLst>
                      <a:ext uri="{53640926-AAD7-44D8-BBD7-CCE9431645EC}">
                        <a14:shadowObscured xmlns:a14="http://schemas.microsoft.com/office/drawing/2010/main"/>
                      </a:ext>
                    </a:extLst>
                  </pic:spPr>
                </pic:pic>
              </a:graphicData>
            </a:graphic>
          </wp:inline>
        </w:drawing>
      </w:r>
      <w:r w:rsidR="00082E8B">
        <w:t xml:space="preserve"> </w:t>
      </w:r>
    </w:p>
    <w:p w:rsidR="001E7B38" w:rsidRDefault="001E7B38" w:rsidP="001E7B38">
      <w:pPr>
        <w:pStyle w:val="Ttulo2"/>
      </w:pPr>
      <w:r>
        <w:t>Exceso</w:t>
      </w:r>
    </w:p>
    <w:p w:rsidR="001E7B38" w:rsidRDefault="001E7B38" w:rsidP="001E7B38">
      <w:r>
        <w:t xml:space="preserve">Tras conocer el origen del exceso, tratarlo como tal. En casos agudos, el tratamiento sería la </w:t>
      </w:r>
      <w:proofErr w:type="spellStart"/>
      <w:r>
        <w:t>quelación</w:t>
      </w:r>
      <w:proofErr w:type="spellEnd"/>
      <w:r>
        <w:t xml:space="preserve"> o la flebotomía.</w:t>
      </w:r>
    </w:p>
    <w:p w:rsidR="006E3DA7" w:rsidRDefault="006E3DA7" w:rsidP="00CF3BBA">
      <w:pPr>
        <w:pStyle w:val="Ttulo1"/>
      </w:pPr>
    </w:p>
    <w:p w:rsidR="006E3DA7" w:rsidRDefault="006E3DA7" w:rsidP="00CF3BBA">
      <w:pPr>
        <w:pStyle w:val="Ttulo1"/>
      </w:pPr>
    </w:p>
    <w:p w:rsidR="006E3DA7" w:rsidRDefault="006E3DA7" w:rsidP="00CF3BBA">
      <w:pPr>
        <w:pStyle w:val="Ttulo1"/>
      </w:pPr>
    </w:p>
    <w:p w:rsidR="006E3DA7" w:rsidRDefault="006E3DA7" w:rsidP="00CF3BBA">
      <w:pPr>
        <w:pStyle w:val="Ttulo1"/>
      </w:pPr>
    </w:p>
    <w:p w:rsidR="006E3DA7" w:rsidRDefault="006E3DA7" w:rsidP="006E3DA7"/>
    <w:p w:rsidR="006E3DA7" w:rsidRDefault="006E3DA7" w:rsidP="006E3DA7"/>
    <w:p w:rsidR="006E3DA7" w:rsidRDefault="006E3DA7" w:rsidP="006E3DA7"/>
    <w:p w:rsidR="006E3DA7" w:rsidRDefault="006E3DA7" w:rsidP="006E3DA7"/>
    <w:p w:rsidR="006E3DA7" w:rsidRDefault="006E3DA7" w:rsidP="006E3DA7"/>
    <w:p w:rsidR="006E3DA7" w:rsidRPr="006E3DA7" w:rsidRDefault="006E3DA7" w:rsidP="006E3DA7"/>
    <w:p w:rsidR="00CF3BBA" w:rsidRPr="0011080F" w:rsidRDefault="00CF3BBA" w:rsidP="00CF3BBA">
      <w:pPr>
        <w:pStyle w:val="Ttulo1"/>
      </w:pPr>
      <w:r w:rsidRPr="0011080F">
        <w:lastRenderedPageBreak/>
        <w:t>BIBLIOGRAFÍA</w:t>
      </w:r>
    </w:p>
    <w:p w:rsidR="00CF3BBA" w:rsidRDefault="00CF3BBA" w:rsidP="00CF3BBA"/>
    <w:p w:rsidR="00D83F62" w:rsidRPr="007C3AEE" w:rsidRDefault="007E6169" w:rsidP="00D83F62">
      <w:pPr>
        <w:pStyle w:val="Prrafodelista"/>
        <w:numPr>
          <w:ilvl w:val="0"/>
          <w:numId w:val="13"/>
        </w:numPr>
        <w:rPr>
          <w:rStyle w:val="Hipervnculo"/>
          <w:color w:val="auto"/>
          <w:u w:val="none"/>
        </w:rPr>
      </w:pPr>
      <w:r w:rsidRPr="007E6169">
        <w:t xml:space="preserve">PEN: evidencia basada en la práctica en nutrición. (Dakota del Norte). Obtenido de </w:t>
      </w:r>
      <w:hyperlink r:id="rId14" w:history="1">
        <w:r w:rsidRPr="004072F5">
          <w:rPr>
            <w:rStyle w:val="Hipervnculo"/>
          </w:rPr>
          <w:t>http://www.pennutrition.com/KnowledgePathway.aspx?kpid=403&amp;trid=22667&amp;trcatid=38</w:t>
        </w:r>
      </w:hyperlink>
    </w:p>
    <w:p w:rsidR="007C3AEE" w:rsidRPr="007C3AEE" w:rsidRDefault="007C3AEE" w:rsidP="007C3AEE">
      <w:pPr>
        <w:pStyle w:val="Prrafodelista"/>
        <w:numPr>
          <w:ilvl w:val="0"/>
          <w:numId w:val="13"/>
        </w:numPr>
        <w:rPr>
          <w:lang w:val="en-GB"/>
        </w:rPr>
      </w:pPr>
      <w:r>
        <w:t xml:space="preserve">Ingestas Dietéticas de Referencia (IDR) para la Población Española, 2010. </w:t>
      </w:r>
      <w:r w:rsidRPr="00505BF7">
        <w:rPr>
          <w:lang w:val="en-GB"/>
        </w:rPr>
        <w:t>Act Diet [Internet]. 2010 [cited 2017 Dec 7]</w:t>
      </w:r>
      <w:proofErr w:type="gramStart"/>
      <w:r w:rsidRPr="00505BF7">
        <w:rPr>
          <w:lang w:val="en-GB"/>
        </w:rPr>
        <w:t>;14</w:t>
      </w:r>
      <w:proofErr w:type="gramEnd"/>
      <w:r w:rsidRPr="00505BF7">
        <w:rPr>
          <w:lang w:val="en-GB"/>
        </w:rPr>
        <w:t>(4):196–7. Available from: www.elsevier.es/dietetica</w:t>
      </w:r>
    </w:p>
    <w:p w:rsidR="007E6169" w:rsidRDefault="00A81E23" w:rsidP="007E6169">
      <w:pPr>
        <w:pStyle w:val="Prrafodelista"/>
        <w:numPr>
          <w:ilvl w:val="0"/>
          <w:numId w:val="13"/>
        </w:numPr>
        <w:rPr>
          <w:lang w:val="en-GB"/>
        </w:rPr>
      </w:pPr>
      <w:r w:rsidRPr="00A81E23">
        <w:rPr>
          <w:lang w:val="en-GB"/>
        </w:rPr>
        <w:t xml:space="preserve">Siu AL. Screening for Iron Deficiency </w:t>
      </w:r>
      <w:proofErr w:type="spellStart"/>
      <w:r w:rsidRPr="00A81E23">
        <w:rPr>
          <w:lang w:val="en-GB"/>
        </w:rPr>
        <w:t>Anemia</w:t>
      </w:r>
      <w:proofErr w:type="spellEnd"/>
      <w:r w:rsidRPr="00A81E23">
        <w:rPr>
          <w:lang w:val="en-GB"/>
        </w:rPr>
        <w:t xml:space="preserve"> and Iron Supplementation in Pregnant Women to Improve Maternal Health and Birth Outcomes: U.S. Preventive Services Task Force Recommendation Statement. Ann Intern Med [Internet]. 2015 Oct 6 [cited 2017 Dec 3]</w:t>
      </w:r>
      <w:proofErr w:type="gramStart"/>
      <w:r w:rsidRPr="00A81E23">
        <w:rPr>
          <w:lang w:val="en-GB"/>
        </w:rPr>
        <w:t>;163</w:t>
      </w:r>
      <w:proofErr w:type="gramEnd"/>
      <w:r w:rsidRPr="00A81E23">
        <w:rPr>
          <w:lang w:val="en-GB"/>
        </w:rPr>
        <w:t>(7):529. Available from: http://annals.org/article.aspx?doi=10.7326/M15-1707</w:t>
      </w:r>
    </w:p>
    <w:p w:rsidR="00D83F62" w:rsidRDefault="00505BF7" w:rsidP="007E6169">
      <w:pPr>
        <w:pStyle w:val="Prrafodelista"/>
        <w:numPr>
          <w:ilvl w:val="0"/>
          <w:numId w:val="13"/>
        </w:numPr>
        <w:rPr>
          <w:lang w:val="en-GB"/>
        </w:rPr>
      </w:pPr>
      <w:r w:rsidRPr="00505BF7">
        <w:rPr>
          <w:lang w:val="en-GB"/>
        </w:rPr>
        <w:t>Goddard AF, James MW, McIntyre AS, Scott BB, British Society of Gastroenterology. Guidelines for the management of iron deficiency anaemia. Gut [Internet]. 2011 Oct 1 [cited 2017 Dec 7]</w:t>
      </w:r>
      <w:proofErr w:type="gramStart"/>
      <w:r w:rsidRPr="00505BF7">
        <w:rPr>
          <w:lang w:val="en-GB"/>
        </w:rPr>
        <w:t>;60</w:t>
      </w:r>
      <w:proofErr w:type="gramEnd"/>
      <w:r w:rsidRPr="00505BF7">
        <w:rPr>
          <w:lang w:val="en-GB"/>
        </w:rPr>
        <w:t xml:space="preserve">(10):1309–16. Available from: </w:t>
      </w:r>
      <w:hyperlink r:id="rId15" w:history="1">
        <w:r w:rsidR="007C3AEE" w:rsidRPr="00061D48">
          <w:rPr>
            <w:rStyle w:val="Hipervnculo"/>
            <w:lang w:val="en-GB"/>
          </w:rPr>
          <w:t>http://www.ncbi.nlm.nih.gov/pubmed/21561874</w:t>
        </w:r>
      </w:hyperlink>
    </w:p>
    <w:p w:rsidR="007C3AEE" w:rsidRDefault="00D67B4B" w:rsidP="007E6169">
      <w:pPr>
        <w:pStyle w:val="Prrafodelista"/>
        <w:numPr>
          <w:ilvl w:val="0"/>
          <w:numId w:val="13"/>
        </w:numPr>
        <w:rPr>
          <w:lang w:val="en-GB"/>
        </w:rPr>
      </w:pPr>
      <w:r>
        <w:t xml:space="preserve">Otegui U, Sanz </w:t>
      </w:r>
      <w:proofErr w:type="spellStart"/>
      <w:r>
        <w:t>Jm</w:t>
      </w:r>
      <w:proofErr w:type="spellEnd"/>
      <w:r>
        <w:t xml:space="preserve"> M, P G-M. Intervención dietético-nutricional en la prevención de la deficiencia de hierro </w:t>
      </w:r>
      <w:proofErr w:type="spellStart"/>
      <w:r>
        <w:t>Dietary-nutritional</w:t>
      </w:r>
      <w:proofErr w:type="spellEnd"/>
      <w:r>
        <w:t xml:space="preserve"> </w:t>
      </w:r>
      <w:proofErr w:type="spellStart"/>
      <w:r>
        <w:t>intervention</w:t>
      </w:r>
      <w:proofErr w:type="spellEnd"/>
      <w:r>
        <w:t xml:space="preserve"> in </w:t>
      </w:r>
      <w:proofErr w:type="spellStart"/>
      <w:r>
        <w:t>the</w:t>
      </w:r>
      <w:proofErr w:type="spellEnd"/>
      <w:r>
        <w:t xml:space="preserve"> </w:t>
      </w:r>
      <w:proofErr w:type="spellStart"/>
      <w:r>
        <w:t>prevention</w:t>
      </w:r>
      <w:proofErr w:type="spellEnd"/>
      <w:r>
        <w:t xml:space="preserve"> of </w:t>
      </w:r>
      <w:proofErr w:type="spellStart"/>
      <w:r>
        <w:t>iron</w:t>
      </w:r>
      <w:proofErr w:type="spellEnd"/>
      <w:r>
        <w:t xml:space="preserve"> </w:t>
      </w:r>
      <w:proofErr w:type="spellStart"/>
      <w:r>
        <w:t>deficiency</w:t>
      </w:r>
      <w:proofErr w:type="spellEnd"/>
      <w:r>
        <w:t xml:space="preserve">. </w:t>
      </w:r>
      <w:r w:rsidRPr="00D67B4B">
        <w:rPr>
          <w:lang w:val="en-GB"/>
        </w:rPr>
        <w:t xml:space="preserve">[cited 2017 Dec 7]; Available from: </w:t>
      </w:r>
      <w:hyperlink r:id="rId16" w:history="1">
        <w:r w:rsidR="00EC7530" w:rsidRPr="00061D48">
          <w:rPr>
            <w:rStyle w:val="Hipervnculo"/>
            <w:lang w:val="en-GB"/>
          </w:rPr>
          <w:t>http://dadun.unav.edu/bitstream/10171/37078/1/Muniesa_Intervencion_dietetico_nutricional.pdf</w:t>
        </w:r>
      </w:hyperlink>
    </w:p>
    <w:p w:rsidR="00EC7530" w:rsidRPr="00EC7530" w:rsidRDefault="00EC7530" w:rsidP="007E6169">
      <w:pPr>
        <w:pStyle w:val="Prrafodelista"/>
        <w:numPr>
          <w:ilvl w:val="0"/>
          <w:numId w:val="13"/>
        </w:numPr>
      </w:pPr>
      <w:r>
        <w:t>DIME QUE COMES : HIERRO EN LA DIETA VEGETARIANA, ¿CUÁNTO? [Internet]. [</w:t>
      </w:r>
      <w:proofErr w:type="spellStart"/>
      <w:r>
        <w:t>cited</w:t>
      </w:r>
      <w:proofErr w:type="spellEnd"/>
      <w:r>
        <w:t xml:space="preserve"> 2017 </w:t>
      </w:r>
      <w:proofErr w:type="spellStart"/>
      <w:r>
        <w:t>Dec</w:t>
      </w:r>
      <w:proofErr w:type="spellEnd"/>
      <w:r>
        <w:t xml:space="preserve"> 7]. </w:t>
      </w:r>
      <w:proofErr w:type="spellStart"/>
      <w:r>
        <w:t>Available</w:t>
      </w:r>
      <w:proofErr w:type="spellEnd"/>
      <w:r>
        <w:t xml:space="preserve"> </w:t>
      </w:r>
      <w:proofErr w:type="spellStart"/>
      <w:r>
        <w:t>from</w:t>
      </w:r>
      <w:proofErr w:type="spellEnd"/>
      <w:r>
        <w:t>: http://www.dimequecomes.com/2014/08/hierro-en-la-dieta-vegetariana-cuanto.html</w:t>
      </w:r>
    </w:p>
    <w:p w:rsidR="007E6169" w:rsidRPr="00EC7530" w:rsidRDefault="007E6169" w:rsidP="00CF3BBA"/>
    <w:p w:rsidR="007E6169" w:rsidRPr="00EC7530" w:rsidRDefault="007E6169" w:rsidP="00CF3BBA"/>
    <w:p w:rsidR="007E6169" w:rsidRPr="00EC7530" w:rsidRDefault="007E6169" w:rsidP="00CF3BBA"/>
    <w:p w:rsidR="007E6169" w:rsidRPr="00EC7530" w:rsidRDefault="007E6169" w:rsidP="00CF3BBA"/>
    <w:p w:rsidR="006E3DA7" w:rsidRPr="00EE6572" w:rsidRDefault="006E3DA7" w:rsidP="006E3DA7">
      <w:pPr>
        <w:pStyle w:val="Textoindependiente"/>
        <w:jc w:val="both"/>
        <w:rPr>
          <w:rStyle w:val="Textoennegrita"/>
          <w:highlight w:val="yellow"/>
        </w:rPr>
      </w:pPr>
      <w:r>
        <w:rPr>
          <w:rStyle w:val="Textoennegrita"/>
          <w:highlight w:val="yellow"/>
        </w:rPr>
        <w:t>Seguir</w:t>
      </w:r>
      <w:r w:rsidRPr="00EE6572">
        <w:rPr>
          <w:rStyle w:val="Textoennegrita"/>
          <w:highlight w:val="yellow"/>
        </w:rPr>
        <w:t xml:space="preserve"> estructura:</w:t>
      </w:r>
    </w:p>
    <w:p w:rsidR="006E3DA7" w:rsidRPr="00EE6572" w:rsidRDefault="006E3DA7" w:rsidP="006E3DA7">
      <w:pPr>
        <w:pStyle w:val="Textoindependiente"/>
        <w:numPr>
          <w:ilvl w:val="0"/>
          <w:numId w:val="12"/>
        </w:numPr>
        <w:jc w:val="both"/>
        <w:rPr>
          <w:rStyle w:val="Textoennegrita"/>
          <w:highlight w:val="yellow"/>
        </w:rPr>
      </w:pPr>
      <w:r w:rsidRPr="00EE6572">
        <w:rPr>
          <w:rStyle w:val="Textoennegrita"/>
          <w:highlight w:val="yellow"/>
        </w:rPr>
        <w:t>Características de una deficiencia y población de riesgo</w:t>
      </w:r>
    </w:p>
    <w:p w:rsidR="006E3DA7" w:rsidRPr="00EE6572" w:rsidRDefault="006E3DA7" w:rsidP="006E3DA7">
      <w:pPr>
        <w:pStyle w:val="Textoindependiente"/>
        <w:numPr>
          <w:ilvl w:val="0"/>
          <w:numId w:val="12"/>
        </w:numPr>
        <w:jc w:val="both"/>
        <w:rPr>
          <w:rStyle w:val="Textoennegrita"/>
          <w:highlight w:val="yellow"/>
        </w:rPr>
      </w:pPr>
      <w:r w:rsidRPr="00EE6572">
        <w:rPr>
          <w:rStyle w:val="Textoennegrita"/>
          <w:highlight w:val="yellow"/>
        </w:rPr>
        <w:t>Diagnóstico de una deficiencia</w:t>
      </w:r>
    </w:p>
    <w:p w:rsidR="006E3DA7" w:rsidRPr="00EE6572" w:rsidRDefault="006E3DA7" w:rsidP="006E3DA7">
      <w:pPr>
        <w:pStyle w:val="Textoindependiente"/>
        <w:numPr>
          <w:ilvl w:val="0"/>
          <w:numId w:val="12"/>
        </w:numPr>
        <w:jc w:val="both"/>
        <w:rPr>
          <w:rStyle w:val="Textoennegrita"/>
          <w:highlight w:val="yellow"/>
        </w:rPr>
      </w:pPr>
      <w:r w:rsidRPr="00EE6572">
        <w:rPr>
          <w:rStyle w:val="Textoennegrita"/>
          <w:highlight w:val="yellow"/>
        </w:rPr>
        <w:t>Requerimientos y límite de tolerancia</w:t>
      </w:r>
    </w:p>
    <w:p w:rsidR="006E3DA7" w:rsidRPr="00EE6572" w:rsidRDefault="006E3DA7" w:rsidP="006E3DA7">
      <w:pPr>
        <w:pStyle w:val="Textoindependiente"/>
        <w:numPr>
          <w:ilvl w:val="0"/>
          <w:numId w:val="12"/>
        </w:numPr>
        <w:jc w:val="both"/>
        <w:rPr>
          <w:rStyle w:val="Textoennegrita"/>
          <w:highlight w:val="yellow"/>
        </w:rPr>
      </w:pPr>
      <w:r w:rsidRPr="00EE6572">
        <w:rPr>
          <w:rStyle w:val="Textoennegrita"/>
          <w:highlight w:val="yellow"/>
        </w:rPr>
        <w:t>Tratamiento nutricional + suplementación</w:t>
      </w:r>
    </w:p>
    <w:p w:rsidR="006E3DA7" w:rsidRPr="00EE6572" w:rsidRDefault="006E3DA7" w:rsidP="006E3DA7">
      <w:pPr>
        <w:pStyle w:val="Textoindependiente"/>
        <w:numPr>
          <w:ilvl w:val="0"/>
          <w:numId w:val="12"/>
        </w:numPr>
        <w:jc w:val="both"/>
        <w:rPr>
          <w:rStyle w:val="Textoennegrita"/>
          <w:highlight w:val="yellow"/>
        </w:rPr>
      </w:pPr>
      <w:r w:rsidRPr="00EE6572">
        <w:rPr>
          <w:rStyle w:val="Textoennegrita"/>
          <w:highlight w:val="yellow"/>
        </w:rPr>
        <w:t>Bibliografía amplia y actualizada</w:t>
      </w:r>
    </w:p>
    <w:p w:rsidR="00D6608C" w:rsidRPr="00EC7530" w:rsidRDefault="00D6608C" w:rsidP="00CF3BBA"/>
    <w:p w:rsidR="00D6608C" w:rsidRPr="00EC7530" w:rsidRDefault="00D6608C" w:rsidP="00CF3BBA"/>
    <w:p w:rsidR="00D6608C" w:rsidRPr="00EC7530" w:rsidRDefault="00D6608C" w:rsidP="00CF3BBA"/>
    <w:p w:rsidR="00D6608C" w:rsidRPr="00EC7530" w:rsidRDefault="00D6608C" w:rsidP="00CF3BBA"/>
    <w:p w:rsidR="00D6608C" w:rsidRPr="00EC7530" w:rsidRDefault="00D6608C" w:rsidP="00CF3BBA"/>
    <w:p w:rsidR="005C7D9C" w:rsidRDefault="00CF3BBA" w:rsidP="00CF3BBA">
      <w:pPr>
        <w:pStyle w:val="Puesto"/>
      </w:pPr>
      <w:r>
        <w:lastRenderedPageBreak/>
        <w:t>YODO</w:t>
      </w:r>
    </w:p>
    <w:p w:rsidR="00CF3BBA" w:rsidRDefault="00CF3BBA" w:rsidP="00CF3BBA"/>
    <w:p w:rsidR="006D29FA" w:rsidRDefault="006D29FA" w:rsidP="00CF3BBA"/>
    <w:p w:rsidR="006D29FA" w:rsidRDefault="006D29FA" w:rsidP="006D29FA">
      <w:pPr>
        <w:pStyle w:val="Ttulo1"/>
      </w:pPr>
      <w:r>
        <w:t>CARACTERÍSTICAS DE UNA DEFICIENCIA Y POBLACIÓN DE RIESGO</w:t>
      </w:r>
    </w:p>
    <w:p w:rsidR="006D29FA" w:rsidRDefault="006D29FA" w:rsidP="006D29FA"/>
    <w:p w:rsidR="00DA3EE3" w:rsidRDefault="00DA3EE3" w:rsidP="00DA3EE3">
      <w:r>
        <w:t xml:space="preserve">Los efectos clínicos de la deficiencia de yodo, conocidos como trastornos por deficiencia de yodo (IDD), son el resultado de ingestas insuficientes que conducen a insuficiencia de la función tiroidea (hipotiroidismo). </w:t>
      </w:r>
    </w:p>
    <w:p w:rsidR="00F0273B" w:rsidRDefault="00DA3EE3" w:rsidP="00DA3EE3">
      <w:r>
        <w:t xml:space="preserve">Los IDD se observan en todas las etapas del desarrollo y son especialmente preocupantes en el embarazo y la infancia </w:t>
      </w:r>
      <w:r w:rsidR="00F63925">
        <w:t xml:space="preserve">(siendo más frecuente en niñas) </w:t>
      </w:r>
      <w:r>
        <w:t xml:space="preserve">debido al riesgo de daño cerebral del desarrollo. La deficiencia crónica de yodo puede ocasionar hipertrofia / hiperplasia tiroidea compensadora con bocio (glándula tiroides agrandada). </w:t>
      </w:r>
    </w:p>
    <w:p w:rsidR="00DA3EE3" w:rsidRDefault="00DA3EE3" w:rsidP="00DA3EE3">
      <w:r>
        <w:t>El bocio es inicialmente difuso, pero luego puede volverse nodular con la apariencia de nódulos autónomos, que posteriormente pueden causar hipertiroidismo. El bocio también aumenta el riesgo de cáncer de tiroides</w:t>
      </w:r>
      <w:r w:rsidR="00F63925">
        <w:t>, e incluso si es u</w:t>
      </w:r>
      <w:r>
        <w:t xml:space="preserve">n bocio grande puede causar obstrucción de la tráquea y el esófago. </w:t>
      </w:r>
    </w:p>
    <w:p w:rsidR="00DA3EE3" w:rsidRDefault="00DA3EE3" w:rsidP="006D29FA">
      <w:r>
        <w:t>La deficiencia de yodo materna durante el embarazo da como resultado la deficiencia de yodo fetal. Va acompañado de mayores tasas de mortinatos, abortos y anomalías congénitas. Constituye una amenaza para el cerebro temprano desarrollo con el consiguiente retraso físico y mental y menor cognitivo y motor rendimiento en la v</w:t>
      </w:r>
      <w:r w:rsidR="00F63925">
        <w:t>ida posterior</w:t>
      </w:r>
      <w:r>
        <w:t>.</w:t>
      </w:r>
      <w:r w:rsidR="003A3E0A">
        <w:fldChar w:fldCharType="begin" w:fldLock="1"/>
      </w:r>
      <w:r w:rsidR="003A3E0A">
        <w:instrText>ADDIN CSL_CITATION { "citationItems" : [ { "id" : "ITEM-1", "itemData" : { "DOI" : "10.2903/j.efsa.20YY.NNNN", "abstract" : "12 Following a request from the European Commission, the EFSA Panel on Dietetic Products, Nutrition and Allergies 13 (NDA) derived Dietary Reference Values (DRVs) for thiamin (vitamin B1). The Panel considers that data from 14 depletion\u2013repletion studies in adults on the amount of dietary thiamin intake associated with erythrocyte transketolase 15 activity coefficient (\u03b1ETK) &lt; 1.15, generally considered to reflect an adequate thiamin status, or with the restoration of 16 normal (baseline) erythrocyte transketolase activity, without a sharp increase in urinary thiamin excretion, can be used 17 to estimate thiamin requirement. In the absence of new scientific evidence, the Panel endorses the Average 18 Requirement (AR) of 0.072 mg/MJ (0.3 mg/1,000 kcal) for all adults proposed by the Scientific Committee for Food 19 (SCF) in 1993 on the basis of one depletion\u2013repletion study, in which both \u03b1ETK and urinary thiamin excretion were 20 measured. Results from other depletion\u2013repletion studies are in agreement with this value. The Panel agrees on the 21 coefficient of variation of 20% used by the SCF to cover uncertainties related to distribution of thiamin requirements 22 in the general population, and endorses the Population Reference Intake (PRI) of 0.1 mg/MJ (0.4 mg/1,000 kcal) set by 23 the SCF for all adults. The same AR and PRI as for adults, expressed in mg/MJ, are proposed for infants aged 7 to 24 11 months, children aged 1 to &lt; 18 years, and during pregnancy and lactation, under the assumption that the 25 relationship between thiamin requirement and energy requirement is the same in all population groups.", "author" : [ { "dropping-particle" : "", "family" : "Turck", "given" : "Dominique", "non-dropping-particle" : "", "parse-names" : false, "suffix" : "" }, { "dropping-particle" : "", "family" : "Bresson", "given" : "Jean-Louis", "non-dropping-particle" : "", "parse-names" : false, "suffix" : "" }, { "dropping-particle" : "", "family" : "Burlingame", "given" : "Barbara", "non-dropping-particle" : "", "parse-names" : false, "suffix" : "" }, { "dropping-particle" : "", "family" : "Fairweather-Tait", "given" : "Susan", "non-dropping-particle" : "", "parse-names" : false, "suffix" : "" }, { "dropping-particle" : "", "family" : "Heinonen", "given" : "Marina", "non-dropping-particle" : "", "parse-names" : false, "suffix" : "" }, { "dropping-particle" : "", "family" : "Mangelsdorf", "given" : "Inge", "non-dropping-particle" : "", "parse-names" : false, "suffix" : "" }, { "dropping-particle" : "", "family" : "McArdle", "given" : "Harry", "non-dropping-particle" : "", "parse-names" : false, "suffix" : "" }, { "dropping-particle" : "", "family" : "Nowicka", "given" : "Gra\u017cyna", "non-dropping-particle" : "", "parse-names" : false, "suffix" : "" }, { "dropping-particle" : "", "family" : "Pentieva", "given" : "Kristina", "non-dropping-particle" : "", "parse-names" : false, "suffix" : "" }, { "dropping-particle" : "", "family" : "Sanz", "given" : "Yolanda", "non-dropping-particle" : "", "parse-names" : false, "suffix" : "" }, { "dropping-particle" : "", "family" : "Siani", "given" : "Alfonso", "non-dropping-particle" : "", "parse-names" : false, "suffix" : "" }, { "dropping-particle" : "", "family" : "Sj\u00f6din", "given" : "Anders", "non-dropping-particle" : "", "parse-names" : false, "suffix" : "" }, { "dropping-particle" : "", "family" : "Stern", "given" : "Martin", "non-dropping-particle" : "", "parse-names" : false, "suffix" : "" }, { "dropping-particle" : "", "family" : "Tom\u00e9", "given" : "Daniel", "non-dropping-particle" : "", "parse-names" : false, "suffix" : "" }, { "dropping-particle" : "", "family" : "Loveren", "given" : "Van", "non-dropping-particle" : "", "parse-names" : false, "suffix" : "" }, { "dropping-particle" : "", "family" : "Vinceti", "given" : "Marco", "non-dropping-particle" : "", "parse-names" : false, "suffix" : "" }, { "dropping-particle" : "", "family" : "Willatts", "given" : "Peter", "non-dropping-particle" : "", "parse-names" : false, "suffix" : "" }, { "dropping-particle" : "", "family" : "Lamberg-", "given" : "Christel", "non-dropping-particle" : "", "parse-names" : false, "suffix" : "" }, { "dropping-particle" : "", "family" : "Przyrembel", "given" : "Hildegard", "non-dropping-particle" : "", "parse-names" : false, "suffix" : "" }, { "dropping-particle" : "", "family" : "Tetens", "given" : "Inge", "non-dropping-particle" : "", "parse-names" : false, "suffix" : "" }, { "dropping-particle" : "", "family" : "Gudelj Rakic", "given" : "Jelena", "non-dropping-particle" : "", "parse-names" : false, "suffix" : "" }, { "dropping-particle" : "", "family" : "Ioannidou", "given" : "Sofia", "non-dropping-particle" : "", "parse-names" : false, "suffix" : "" }, { "dropping-particle" : "", "family" : "Sesmaisons-Lecarr\u00e9", "given" : "Agn\u00e8s", "non-dropping-particle" : "de", "parse-names" : false, "suffix" : "" }, { "dropping-particle" : "", "family" : "Cecilia", "given" : "Annette", "non-dropping-particle" : "", "parse-names" : false, "suffix" : "" }, { "dropping-particle" : "", "family" : "Neuh\u00e4user-Berthold", "given" : "Monika", "non-dropping-particle" : "", "parse-names" : false, "suffix" : "" } ], "container-title" : "EFSA Journal", "id" : "ITEM-1", "issued" : { "date-parts" : [ [ "2016" ] ] }, "title" : "Dietary Reference Values for thiamin EFSA Panel on Dietetic Products, Nutrition and Allergies (NDA), 2", "type" : "article-journal" }, "uris" : [ "http://www.mendeley.com/documents/?uuid=74f429e9-dc45-3943-a7aa-46e1689e760b" ] } ], "mendeley" : { "formattedCitation" : "(7)", "plainTextFormattedCitation" : "(7)", "previouslyFormattedCitation" : "(7)" }, "properties" : {  }, "schema" : "https://github.com/citation-style-language/schema/raw/master/csl-citation.json" }</w:instrText>
      </w:r>
      <w:r w:rsidR="003A3E0A">
        <w:fldChar w:fldCharType="separate"/>
      </w:r>
      <w:r w:rsidR="003A3E0A" w:rsidRPr="003A3E0A">
        <w:rPr>
          <w:noProof/>
        </w:rPr>
        <w:t>(7)</w:t>
      </w:r>
      <w:r w:rsidR="003A3E0A">
        <w:fldChar w:fldCharType="end"/>
      </w:r>
    </w:p>
    <w:p w:rsidR="00DA3EE3" w:rsidRDefault="00DA3EE3" w:rsidP="006D29FA"/>
    <w:p w:rsidR="006D29FA" w:rsidRDefault="006D29FA" w:rsidP="006D29FA">
      <w:pPr>
        <w:pStyle w:val="Ttulo1"/>
      </w:pPr>
      <w:r>
        <w:t>DIAGNÓSTICO</w:t>
      </w:r>
    </w:p>
    <w:p w:rsidR="006D29FA" w:rsidRDefault="006D29FA" w:rsidP="006D29FA"/>
    <w:p w:rsidR="001F143A" w:rsidRDefault="001F143A" w:rsidP="001F143A">
      <w:r>
        <w:t xml:space="preserve">España continúa siendo uno de los países de Europa con un consumo deficitario en yodo. No existe un plan nacional para erradicar los TDY ni una </w:t>
      </w:r>
      <w:r w:rsidRPr="003D6D54">
        <w:t>legislación para regular la yodación universal de la sal.</w:t>
      </w:r>
    </w:p>
    <w:p w:rsidR="001F143A" w:rsidRDefault="001F143A" w:rsidP="001F143A">
      <w:r>
        <w:t>Con lo cual, la población en general requiere una valoración e intervención dietética con carácter preventivo. Especialmente los grupos de riesgo como niños y mujeres gestantes.</w:t>
      </w:r>
      <w:r>
        <w:t xml:space="preserve"> </w:t>
      </w:r>
      <w:r>
        <w:fldChar w:fldCharType="begin" w:fldLock="1"/>
      </w:r>
      <w:r>
        <w:instrText>ADDIN CSL_CITATION { "citationItems" : [ { "id" : "ITEM-1", "itemData" : { "author" : [ { "dropping-particle" : "", "family" : "Preliminares", "given" : "Conceptos", "non-dropping-particle" : "", "parse-names" : false, "suffix" : "" } ], "id" : "ITEM-1", "issue" : "1", "issued" : { "date-parts" : [ [ "2004" ] ] }, "page" : "2-13", "title" : "Grupo de Trastornos por Deficiencia de Yodo D\u00e9ficit de yodo en Espa\u00f1a : situaci\u00f3n actual", "type" : "article-journal", "volume" : "51" }, "uris" : [ "http://www.mendeley.com/documents/?uuid=3cee4a6f-9e16-4c0b-a529-6a063c3b9b6f" ] } ], "mendeley" : { "formattedCitation" : "(8)", "plainTextFormattedCitation" : "(8)", "previouslyFormattedCitation" : "(8)" }, "properties" : {  }, "schema" : "https://github.com/citation-style-language/schema/raw/master/csl-citation.json" }</w:instrText>
      </w:r>
      <w:r>
        <w:fldChar w:fldCharType="separate"/>
      </w:r>
      <w:r w:rsidRPr="001F143A">
        <w:rPr>
          <w:noProof/>
        </w:rPr>
        <w:t>(8)</w:t>
      </w:r>
      <w:r>
        <w:fldChar w:fldCharType="end"/>
      </w:r>
    </w:p>
    <w:p w:rsidR="001F143A" w:rsidRDefault="001F143A" w:rsidP="001F143A"/>
    <w:p w:rsidR="001F143A" w:rsidRDefault="001F143A" w:rsidP="001F143A"/>
    <w:p w:rsidR="001F143A" w:rsidRDefault="001F143A" w:rsidP="001F143A"/>
    <w:p w:rsidR="001F143A" w:rsidRDefault="001F143A" w:rsidP="001F143A"/>
    <w:p w:rsidR="001F143A" w:rsidRDefault="001F143A" w:rsidP="001F143A"/>
    <w:p w:rsidR="001F143A" w:rsidRDefault="001F143A" w:rsidP="001F143A"/>
    <w:p w:rsidR="001F143A" w:rsidRDefault="001F143A" w:rsidP="001F143A"/>
    <w:p w:rsidR="001F143A" w:rsidRDefault="001F143A" w:rsidP="00834E0F">
      <w:pPr>
        <w:pStyle w:val="Ttulo2"/>
      </w:pPr>
      <w:r>
        <w:lastRenderedPageBreak/>
        <w:t>Bioquímica</w:t>
      </w:r>
    </w:p>
    <w:p w:rsidR="001F143A" w:rsidRDefault="001F143A" w:rsidP="001F143A">
      <w:r>
        <w:t>Indicadores de déficit de yodo, son valores elevados de TSH y bajos de T4. En la atención primaria, se procede a valorar la T4 libre solo si previamente, se obtienen valores anómalos de TSH. A continuación, podemos observar los parámetros con los que se trabajan en AP</w:t>
      </w:r>
      <w:r w:rsidR="00F60ED9">
        <w:t xml:space="preserve"> (aproximados, varía de un laboratorio a otro)</w:t>
      </w:r>
      <w:r>
        <w:t>:</w:t>
      </w:r>
    </w:p>
    <w:p w:rsidR="001F143A" w:rsidRDefault="001F143A" w:rsidP="001F143A">
      <w:pPr>
        <w:pStyle w:val="Ttulo4"/>
      </w:pPr>
      <w:r>
        <w:t>Población general de 12 a 150 años</w:t>
      </w:r>
    </w:p>
    <w:p w:rsidR="001F143A" w:rsidRDefault="001F143A" w:rsidP="001F143A">
      <w:pPr>
        <w:rPr>
          <w:b/>
        </w:rPr>
      </w:pPr>
      <w:r>
        <w:rPr>
          <w:b/>
          <w:noProof/>
          <w:lang w:eastAsia="es-ES"/>
        </w:rPr>
        <mc:AlternateContent>
          <mc:Choice Requires="wps">
            <w:drawing>
              <wp:anchor distT="0" distB="0" distL="114300" distR="114300" simplePos="0" relativeHeight="251734528" behindDoc="0" locked="0" layoutInCell="1" allowOverlap="1" wp14:anchorId="793DBC40" wp14:editId="506BE147">
                <wp:simplePos x="0" y="0"/>
                <wp:positionH relativeFrom="column">
                  <wp:posOffset>215265</wp:posOffset>
                </wp:positionH>
                <wp:positionV relativeFrom="paragraph">
                  <wp:posOffset>53975</wp:posOffset>
                </wp:positionV>
                <wp:extent cx="3057525" cy="923925"/>
                <wp:effectExtent l="0" t="0" r="28575" b="28575"/>
                <wp:wrapNone/>
                <wp:docPr id="14" name="Rectángulo 14"/>
                <wp:cNvGraphicFramePr/>
                <a:graphic xmlns:a="http://schemas.openxmlformats.org/drawingml/2006/main">
                  <a:graphicData uri="http://schemas.microsoft.com/office/word/2010/wordprocessingShape">
                    <wps:wsp>
                      <wps:cNvSpPr/>
                      <wps:spPr>
                        <a:xfrm>
                          <a:off x="0" y="0"/>
                          <a:ext cx="3057525" cy="92392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574B8" id="Rectángulo 14" o:spid="_x0000_s1026" style="position:absolute;margin-left:16.95pt;margin-top:4.25pt;width:240.75pt;height:7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" filled="f" strokecolor="#8eaadb [1944]" strokeweight="1pt"/>
            </w:pict>
          </mc:Fallback>
        </mc:AlternateContent>
      </w:r>
    </w:p>
    <w:p w:rsidR="001F143A" w:rsidRDefault="001F143A" w:rsidP="001F143A">
      <w:pPr>
        <w:ind w:left="708"/>
      </w:pPr>
      <w:r w:rsidRPr="008D05FC">
        <w:rPr>
          <w:b/>
        </w:rPr>
        <w:t>Valores normales de TSH:</w:t>
      </w:r>
      <w:r w:rsidRPr="008D05FC">
        <w:t xml:space="preserve"> </w:t>
      </w:r>
      <w:r>
        <w:t xml:space="preserve">0,35 a 4,95 </w:t>
      </w:r>
      <w:r>
        <w:rPr>
          <w:rFonts w:cstheme="minorHAnsi"/>
        </w:rPr>
        <w:t>µ</w:t>
      </w:r>
      <w:r>
        <w:t xml:space="preserve">UI / </w:t>
      </w:r>
      <w:proofErr w:type="spellStart"/>
      <w:r>
        <w:t>mL</w:t>
      </w:r>
      <w:proofErr w:type="spellEnd"/>
      <w:r>
        <w:t xml:space="preserve"> </w:t>
      </w:r>
    </w:p>
    <w:p w:rsidR="001F143A" w:rsidRPr="004E5767" w:rsidRDefault="001F143A" w:rsidP="001F143A">
      <w:pPr>
        <w:ind w:left="708"/>
      </w:pPr>
      <w:r w:rsidRPr="008D05FC">
        <w:rPr>
          <w:b/>
        </w:rPr>
        <w:t>Valores normales de T4 libre:</w:t>
      </w:r>
      <w:r w:rsidR="00834E0F">
        <w:t xml:space="preserve"> 0,7 a 1,8 </w:t>
      </w:r>
      <w:proofErr w:type="spellStart"/>
      <w:r w:rsidR="00834E0F">
        <w:t>ng</w:t>
      </w:r>
      <w:proofErr w:type="spellEnd"/>
      <w:r w:rsidR="00834E0F">
        <w:t xml:space="preserve"> / </w:t>
      </w:r>
      <w:proofErr w:type="spellStart"/>
      <w:r w:rsidR="00834E0F">
        <w:t>dL</w:t>
      </w:r>
      <w:proofErr w:type="spellEnd"/>
      <w:r>
        <w:t>.</w:t>
      </w:r>
    </w:p>
    <w:p w:rsidR="001F143A" w:rsidRDefault="001F143A" w:rsidP="001F143A">
      <w:pPr>
        <w:pStyle w:val="Ttulo2"/>
      </w:pPr>
    </w:p>
    <w:p w:rsidR="001F143A" w:rsidRDefault="001F143A" w:rsidP="001F143A">
      <w:pPr>
        <w:pStyle w:val="Ttulo2"/>
      </w:pPr>
    </w:p>
    <w:p w:rsidR="001F143A" w:rsidRDefault="001F143A" w:rsidP="001F143A">
      <w:pPr>
        <w:pStyle w:val="Ttulo4"/>
      </w:pPr>
      <w:r>
        <w:t>Población gestante</w:t>
      </w:r>
    </w:p>
    <w:p w:rsidR="001F143A" w:rsidRDefault="001F143A" w:rsidP="001F143A">
      <w:pPr>
        <w:pStyle w:val="Ttulo2"/>
      </w:pPr>
      <w:r>
        <w:rPr>
          <w:b/>
          <w:noProof/>
          <w:lang w:eastAsia="es-ES"/>
        </w:rPr>
        <mc:AlternateContent>
          <mc:Choice Requires="wps">
            <w:drawing>
              <wp:anchor distT="0" distB="0" distL="114300" distR="114300" simplePos="0" relativeHeight="251761152" behindDoc="0" locked="0" layoutInCell="1" allowOverlap="1" wp14:anchorId="55AE4EB6" wp14:editId="1B0E87DE">
                <wp:simplePos x="0" y="0"/>
                <wp:positionH relativeFrom="column">
                  <wp:posOffset>215265</wp:posOffset>
                </wp:positionH>
                <wp:positionV relativeFrom="paragraph">
                  <wp:posOffset>163195</wp:posOffset>
                </wp:positionV>
                <wp:extent cx="3057525" cy="1762125"/>
                <wp:effectExtent l="0" t="0" r="28575" b="28575"/>
                <wp:wrapNone/>
                <wp:docPr id="15" name="Rectángulo 15"/>
                <wp:cNvGraphicFramePr/>
                <a:graphic xmlns:a="http://schemas.openxmlformats.org/drawingml/2006/main">
                  <a:graphicData uri="http://schemas.microsoft.com/office/word/2010/wordprocessingShape">
                    <wps:wsp>
                      <wps:cNvSpPr/>
                      <wps:spPr>
                        <a:xfrm>
                          <a:off x="0" y="0"/>
                          <a:ext cx="3057525" cy="176212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7461B" id="Rectángulo 15" o:spid="_x0000_s1026" style="position:absolute;margin-left:16.95pt;margin-top:12.85pt;width:240.75pt;height:138.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" filled="f" strokecolor="#8eaadb [1944]" strokeweight="1pt"/>
            </w:pict>
          </mc:Fallback>
        </mc:AlternateContent>
      </w:r>
    </w:p>
    <w:p w:rsidR="001F143A" w:rsidRDefault="001F143A" w:rsidP="001F143A">
      <w:pPr>
        <w:ind w:left="708"/>
      </w:pPr>
      <w:r w:rsidRPr="008D05FC">
        <w:rPr>
          <w:b/>
        </w:rPr>
        <w:t>TSH</w:t>
      </w:r>
      <w:r>
        <w:rPr>
          <w:b/>
        </w:rPr>
        <w:t xml:space="preserve"> 1º </w:t>
      </w:r>
      <w:proofErr w:type="spellStart"/>
      <w:r>
        <w:rPr>
          <w:b/>
        </w:rPr>
        <w:t>trimetre</w:t>
      </w:r>
      <w:proofErr w:type="spellEnd"/>
      <w:r w:rsidRPr="008D05FC">
        <w:rPr>
          <w:b/>
        </w:rPr>
        <w:t>:</w:t>
      </w:r>
      <w:r w:rsidRPr="008D05FC">
        <w:t xml:space="preserve"> </w:t>
      </w:r>
      <w:r>
        <w:t xml:space="preserve">0,41 a 2,63 </w:t>
      </w:r>
      <w:r>
        <w:rPr>
          <w:rFonts w:cstheme="minorHAnsi"/>
        </w:rPr>
        <w:t>µ</w:t>
      </w:r>
      <w:r>
        <w:t xml:space="preserve">UI / </w:t>
      </w:r>
      <w:proofErr w:type="spellStart"/>
      <w:r>
        <w:t>mL</w:t>
      </w:r>
      <w:proofErr w:type="spellEnd"/>
      <w:r>
        <w:t xml:space="preserve"> </w:t>
      </w:r>
    </w:p>
    <w:p w:rsidR="001F143A" w:rsidRDefault="001F143A" w:rsidP="001F143A">
      <w:pPr>
        <w:ind w:left="708"/>
      </w:pPr>
      <w:r w:rsidRPr="008D05FC">
        <w:rPr>
          <w:b/>
        </w:rPr>
        <w:t>TSH</w:t>
      </w:r>
      <w:r>
        <w:rPr>
          <w:b/>
        </w:rPr>
        <w:t xml:space="preserve"> 2º </w:t>
      </w:r>
      <w:proofErr w:type="spellStart"/>
      <w:r>
        <w:rPr>
          <w:b/>
        </w:rPr>
        <w:t>trimetre</w:t>
      </w:r>
      <w:proofErr w:type="spellEnd"/>
      <w:r w:rsidRPr="008D05FC">
        <w:rPr>
          <w:b/>
        </w:rPr>
        <w:t>:</w:t>
      </w:r>
      <w:r w:rsidRPr="008D05FC">
        <w:t xml:space="preserve"> </w:t>
      </w:r>
      <w:r>
        <w:t xml:space="preserve">0,15 a 2,59 </w:t>
      </w:r>
      <w:r>
        <w:rPr>
          <w:rFonts w:cstheme="minorHAnsi"/>
        </w:rPr>
        <w:t>µ</w:t>
      </w:r>
      <w:r>
        <w:t xml:space="preserve">UI / </w:t>
      </w:r>
      <w:proofErr w:type="spellStart"/>
      <w:r>
        <w:t>mL</w:t>
      </w:r>
      <w:proofErr w:type="spellEnd"/>
      <w:r>
        <w:t xml:space="preserve"> </w:t>
      </w:r>
    </w:p>
    <w:p w:rsidR="001F143A" w:rsidRDefault="001F143A" w:rsidP="001F143A">
      <w:pPr>
        <w:ind w:left="708"/>
      </w:pPr>
      <w:r w:rsidRPr="008D05FC">
        <w:rPr>
          <w:b/>
        </w:rPr>
        <w:t>TSH</w:t>
      </w:r>
      <w:r>
        <w:rPr>
          <w:b/>
        </w:rPr>
        <w:t xml:space="preserve"> 3º </w:t>
      </w:r>
      <w:proofErr w:type="spellStart"/>
      <w:r>
        <w:rPr>
          <w:b/>
        </w:rPr>
        <w:t>trimetre</w:t>
      </w:r>
      <w:proofErr w:type="spellEnd"/>
      <w:r w:rsidRPr="008D05FC">
        <w:rPr>
          <w:b/>
        </w:rPr>
        <w:t>:</w:t>
      </w:r>
      <w:r w:rsidRPr="008D05FC">
        <w:t xml:space="preserve"> </w:t>
      </w:r>
      <w:r>
        <w:t xml:space="preserve">0,28 a 3,48 </w:t>
      </w:r>
      <w:r>
        <w:rPr>
          <w:rFonts w:cstheme="minorHAnsi"/>
        </w:rPr>
        <w:t>µ</w:t>
      </w:r>
      <w:r>
        <w:t xml:space="preserve">UI / </w:t>
      </w:r>
      <w:proofErr w:type="spellStart"/>
      <w:r>
        <w:t>mL</w:t>
      </w:r>
      <w:proofErr w:type="spellEnd"/>
      <w:r>
        <w:t xml:space="preserve"> </w:t>
      </w:r>
      <w:r w:rsidR="00834E0F">
        <w:t xml:space="preserve"> </w:t>
      </w:r>
    </w:p>
    <w:p w:rsidR="00F60ED9" w:rsidRDefault="00834E0F" w:rsidP="001F143A">
      <w:pPr>
        <w:ind w:left="708"/>
        <w:rPr>
          <w:lang w:val="fr-FR"/>
        </w:rPr>
      </w:pPr>
      <w:r w:rsidRPr="00834E0F">
        <w:rPr>
          <w:b/>
          <w:lang w:val="fr-FR"/>
        </w:rPr>
        <w:t>T4 1º trimestre:</w:t>
      </w:r>
      <w:r>
        <w:rPr>
          <w:lang w:val="fr-FR"/>
        </w:rPr>
        <w:t xml:space="preserve"> 0,52 </w:t>
      </w:r>
      <w:proofErr w:type="spellStart"/>
      <w:r>
        <w:rPr>
          <w:lang w:val="fr-FR"/>
        </w:rPr>
        <w:t>a</w:t>
      </w:r>
      <w:proofErr w:type="spellEnd"/>
      <w:r>
        <w:rPr>
          <w:lang w:val="fr-FR"/>
        </w:rPr>
        <w:t xml:space="preserve"> 1,</w:t>
      </w:r>
      <w:r w:rsidRPr="00834E0F">
        <w:rPr>
          <w:lang w:val="fr-FR"/>
        </w:rPr>
        <w:t xml:space="preserve">08 </w:t>
      </w:r>
      <w:proofErr w:type="spellStart"/>
      <w:r w:rsidRPr="00834E0F">
        <w:rPr>
          <w:lang w:val="fr-FR"/>
        </w:rPr>
        <w:t>ng</w:t>
      </w:r>
      <w:proofErr w:type="spellEnd"/>
      <w:r w:rsidRPr="00834E0F">
        <w:rPr>
          <w:lang w:val="fr-FR"/>
        </w:rPr>
        <w:t>/</w:t>
      </w:r>
      <w:proofErr w:type="spellStart"/>
      <w:r>
        <w:rPr>
          <w:lang w:val="fr-FR"/>
        </w:rPr>
        <w:t>dL</w:t>
      </w:r>
      <w:proofErr w:type="spellEnd"/>
    </w:p>
    <w:p w:rsidR="00834E0F" w:rsidRDefault="00834E0F" w:rsidP="00834E0F">
      <w:pPr>
        <w:ind w:left="708"/>
        <w:rPr>
          <w:lang w:val="fr-FR"/>
        </w:rPr>
      </w:pPr>
      <w:r>
        <w:rPr>
          <w:b/>
          <w:lang w:val="fr-FR"/>
        </w:rPr>
        <w:t>T4 2</w:t>
      </w:r>
      <w:r w:rsidRPr="00834E0F">
        <w:rPr>
          <w:b/>
          <w:lang w:val="fr-FR"/>
        </w:rPr>
        <w:t>º trimestre:</w:t>
      </w:r>
      <w:r>
        <w:rPr>
          <w:lang w:val="fr-FR"/>
        </w:rPr>
        <w:t xml:space="preserve"> 0,45 </w:t>
      </w:r>
      <w:proofErr w:type="spellStart"/>
      <w:r>
        <w:rPr>
          <w:lang w:val="fr-FR"/>
        </w:rPr>
        <w:t>a</w:t>
      </w:r>
      <w:proofErr w:type="spellEnd"/>
      <w:r>
        <w:rPr>
          <w:lang w:val="fr-FR"/>
        </w:rPr>
        <w:t xml:space="preserve"> 0,99</w:t>
      </w:r>
      <w:r w:rsidRPr="00834E0F">
        <w:rPr>
          <w:lang w:val="fr-FR"/>
        </w:rPr>
        <w:t xml:space="preserve"> </w:t>
      </w:r>
      <w:proofErr w:type="spellStart"/>
      <w:r w:rsidRPr="00834E0F">
        <w:rPr>
          <w:lang w:val="fr-FR"/>
        </w:rPr>
        <w:t>ng</w:t>
      </w:r>
      <w:proofErr w:type="spellEnd"/>
      <w:r w:rsidRPr="00834E0F">
        <w:rPr>
          <w:lang w:val="fr-FR"/>
        </w:rPr>
        <w:t>/</w:t>
      </w:r>
      <w:proofErr w:type="spellStart"/>
      <w:r>
        <w:rPr>
          <w:lang w:val="fr-FR"/>
        </w:rPr>
        <w:t>dL</w:t>
      </w:r>
      <w:proofErr w:type="spellEnd"/>
    </w:p>
    <w:p w:rsidR="00834E0F" w:rsidRDefault="00834E0F" w:rsidP="00834E0F">
      <w:pPr>
        <w:ind w:left="708"/>
        <w:rPr>
          <w:lang w:val="fr-FR"/>
        </w:rPr>
      </w:pPr>
      <w:r>
        <w:rPr>
          <w:b/>
          <w:lang w:val="fr-FR"/>
        </w:rPr>
        <w:t>T4 3</w:t>
      </w:r>
      <w:r w:rsidRPr="00834E0F">
        <w:rPr>
          <w:b/>
          <w:lang w:val="fr-FR"/>
        </w:rPr>
        <w:t>º trimestre:</w:t>
      </w:r>
      <w:r>
        <w:rPr>
          <w:lang w:val="fr-FR"/>
        </w:rPr>
        <w:t xml:space="preserve"> 0,48 </w:t>
      </w:r>
      <w:proofErr w:type="spellStart"/>
      <w:r>
        <w:rPr>
          <w:lang w:val="fr-FR"/>
        </w:rPr>
        <w:t>a</w:t>
      </w:r>
      <w:proofErr w:type="spellEnd"/>
      <w:r>
        <w:rPr>
          <w:lang w:val="fr-FR"/>
        </w:rPr>
        <w:t xml:space="preserve"> 0,95</w:t>
      </w:r>
      <w:r w:rsidRPr="00834E0F">
        <w:rPr>
          <w:lang w:val="fr-FR"/>
        </w:rPr>
        <w:t xml:space="preserve"> </w:t>
      </w:r>
      <w:proofErr w:type="spellStart"/>
      <w:r w:rsidRPr="00834E0F">
        <w:rPr>
          <w:lang w:val="fr-FR"/>
        </w:rPr>
        <w:t>ng</w:t>
      </w:r>
      <w:proofErr w:type="spellEnd"/>
      <w:r w:rsidRPr="00834E0F">
        <w:rPr>
          <w:lang w:val="fr-FR"/>
        </w:rPr>
        <w:t>/</w:t>
      </w:r>
      <w:proofErr w:type="spellStart"/>
      <w:r>
        <w:rPr>
          <w:lang w:val="fr-FR"/>
        </w:rPr>
        <w:t>dL</w:t>
      </w:r>
      <w:proofErr w:type="spellEnd"/>
    </w:p>
    <w:p w:rsidR="001F143A" w:rsidRPr="00834E0F" w:rsidRDefault="001F143A" w:rsidP="001F143A">
      <w:pPr>
        <w:pStyle w:val="Ttulo2"/>
        <w:rPr>
          <w:lang w:val="fr-FR"/>
        </w:rPr>
      </w:pPr>
    </w:p>
    <w:p w:rsidR="001F143A" w:rsidRDefault="001F143A" w:rsidP="001F143A">
      <w:pPr>
        <w:pStyle w:val="Ttulo2"/>
      </w:pPr>
      <w:r>
        <w:t>Signos y síntomas</w:t>
      </w:r>
    </w:p>
    <w:p w:rsidR="001F143A" w:rsidRDefault="001F143A" w:rsidP="001F143A"/>
    <w:p w:rsidR="001F143A" w:rsidRPr="000F2824" w:rsidRDefault="001F143A" w:rsidP="001F143A">
      <w:pPr>
        <w:rPr>
          <w:u w:val="single"/>
        </w:rPr>
      </w:pPr>
      <w:r w:rsidRPr="000F2824">
        <w:rPr>
          <w:u w:val="single"/>
        </w:rPr>
        <w:t>En adultos:</w:t>
      </w:r>
    </w:p>
    <w:p w:rsidR="001F143A" w:rsidRDefault="001F143A" w:rsidP="001F143A">
      <w:pPr>
        <w:pStyle w:val="Prrafodelista"/>
        <w:numPr>
          <w:ilvl w:val="0"/>
          <w:numId w:val="9"/>
        </w:numPr>
      </w:pPr>
      <w:r>
        <w:t>Bocio, se puede determinar mediante palpación y/o ecografía.</w:t>
      </w:r>
    </w:p>
    <w:p w:rsidR="001F143A" w:rsidRDefault="001F143A" w:rsidP="001F143A">
      <w:pPr>
        <w:pStyle w:val="Prrafodelista"/>
        <w:numPr>
          <w:ilvl w:val="0"/>
          <w:numId w:val="9"/>
        </w:numPr>
      </w:pPr>
      <w:r>
        <w:t>Nódulos en la glándula tiroidea</w:t>
      </w:r>
    </w:p>
    <w:p w:rsidR="001F143A" w:rsidRDefault="001F143A" w:rsidP="001F143A">
      <w:pPr>
        <w:pStyle w:val="Prrafodelista"/>
        <w:numPr>
          <w:ilvl w:val="0"/>
          <w:numId w:val="9"/>
        </w:numPr>
      </w:pPr>
      <w:r>
        <w:t>Hipotiroidismo (mayor sensación de frío y fatiga, piel reseca, tendencia a olvidar cosas, depresión).</w:t>
      </w:r>
    </w:p>
    <w:p w:rsidR="001F143A" w:rsidRDefault="001F143A" w:rsidP="001F143A"/>
    <w:p w:rsidR="001F143A" w:rsidRPr="000F2824" w:rsidRDefault="001F143A" w:rsidP="001F143A">
      <w:pPr>
        <w:rPr>
          <w:u w:val="single"/>
        </w:rPr>
      </w:pPr>
      <w:r w:rsidRPr="000F2824">
        <w:rPr>
          <w:u w:val="single"/>
        </w:rPr>
        <w:t>Embarazadas:</w:t>
      </w:r>
    </w:p>
    <w:p w:rsidR="001F143A" w:rsidRDefault="001F143A" w:rsidP="001F143A">
      <w:pPr>
        <w:pStyle w:val="Prrafodelista"/>
        <w:numPr>
          <w:ilvl w:val="0"/>
          <w:numId w:val="8"/>
        </w:numPr>
      </w:pPr>
      <w:r>
        <w:t>Mayor incidencia de abortos espontáneos y anomalías congénitas</w:t>
      </w:r>
    </w:p>
    <w:p w:rsidR="001F143A" w:rsidRDefault="001F143A" w:rsidP="001F143A">
      <w:pPr>
        <w:pStyle w:val="Prrafodelista"/>
        <w:numPr>
          <w:ilvl w:val="0"/>
          <w:numId w:val="8"/>
        </w:numPr>
      </w:pPr>
      <w:r>
        <w:t>Mayor mortalidad neonatal e infantil</w:t>
      </w:r>
    </w:p>
    <w:p w:rsidR="001F143A" w:rsidRDefault="001F143A" w:rsidP="001F143A"/>
    <w:p w:rsidR="001F143A" w:rsidRPr="000F2824" w:rsidRDefault="001F143A" w:rsidP="001F143A">
      <w:pPr>
        <w:rPr>
          <w:u w:val="single"/>
        </w:rPr>
      </w:pPr>
      <w:r w:rsidRPr="000F2824">
        <w:rPr>
          <w:u w:val="single"/>
        </w:rPr>
        <w:t>Niños:</w:t>
      </w:r>
    </w:p>
    <w:p w:rsidR="001F143A" w:rsidRDefault="001F143A" w:rsidP="001F143A">
      <w:pPr>
        <w:pStyle w:val="Prrafodelista"/>
        <w:numPr>
          <w:ilvl w:val="0"/>
          <w:numId w:val="7"/>
        </w:numPr>
      </w:pPr>
      <w:r>
        <w:t>Cretinismo</w:t>
      </w:r>
    </w:p>
    <w:p w:rsidR="001F143A" w:rsidRDefault="001F143A" w:rsidP="001F143A">
      <w:pPr>
        <w:pStyle w:val="Prrafodelista"/>
        <w:numPr>
          <w:ilvl w:val="0"/>
          <w:numId w:val="7"/>
        </w:numPr>
      </w:pPr>
      <w:r>
        <w:t>Retraso mental</w:t>
      </w:r>
    </w:p>
    <w:p w:rsidR="001F143A" w:rsidRDefault="001F143A" w:rsidP="001F143A">
      <w:pPr>
        <w:pStyle w:val="Prrafodelista"/>
        <w:numPr>
          <w:ilvl w:val="0"/>
          <w:numId w:val="7"/>
        </w:numPr>
      </w:pPr>
      <w:r>
        <w:t>Defectos en el desarrollo psicomotor</w:t>
      </w:r>
    </w:p>
    <w:p w:rsidR="001F143A" w:rsidRDefault="001F143A" w:rsidP="006D29FA"/>
    <w:p w:rsidR="006D29FA" w:rsidRPr="006D29FA" w:rsidRDefault="006D29FA" w:rsidP="006D29FA">
      <w:pPr>
        <w:pStyle w:val="Ttulo1"/>
      </w:pPr>
      <w:r>
        <w:t>REQUERIMIENTOS Y LÍMITE DE TOLERANCIA</w:t>
      </w:r>
    </w:p>
    <w:p w:rsidR="006D29FA" w:rsidRDefault="006D29FA" w:rsidP="006D29FA"/>
    <w:p w:rsidR="00F658DF" w:rsidRDefault="001F143A" w:rsidP="001F143A">
      <w:pPr>
        <w:pStyle w:val="Ttulo4"/>
      </w:pPr>
      <w:proofErr w:type="spellStart"/>
      <w:r>
        <w:t>RDAs</w:t>
      </w:r>
      <w:proofErr w:type="spellEnd"/>
      <w:r>
        <w:t xml:space="preserve"> para el yodo</w:t>
      </w:r>
      <w:r w:rsidR="001335AC">
        <w:t xml:space="preserve"> </w:t>
      </w:r>
      <w:r w:rsidR="001335AC">
        <w:fldChar w:fldCharType="begin" w:fldLock="1"/>
      </w:r>
      <w:r w:rsidR="001335AC">
        <w:instrText>ADDIN CSL_CITATION { "citationItems" : [ { "id" : "ITEM-1", "itemData" : { "URL" : "https://ods.od.nih.gov/factsheets/Iodine-HealthProfessional/", "accessed" : { "date-parts" : [ [ "2017", "12", "7" ] ] }, "id" : "ITEM-1", "issued" : { "date-parts" : [ [ "0" ] ] }, "title" : "Yodo - Hoja de informaci\u00f3n profesional de salud", "type" : "webpage" }, "uris" : [ "http://www.mendeley.com/documents/?uuid=8e3aaa48-63ff-35eb-b48d-20bbbe28e093" ] } ], "mendeley" : { "formattedCitation" : "(9)", "plainTextFormattedCitation" : "(9)", "previouslyFormattedCitation" : "(9)" }, "properties" : {  }, "schema" : "https://github.com/citation-style-language/schema/raw/master/csl-citation.json" }</w:instrText>
      </w:r>
      <w:r w:rsidR="001335AC">
        <w:fldChar w:fldCharType="separate"/>
      </w:r>
      <w:r w:rsidR="001335AC" w:rsidRPr="001335AC">
        <w:rPr>
          <w:i w:val="0"/>
          <w:noProof/>
        </w:rPr>
        <w:t>(9)</w:t>
      </w:r>
      <w:r w:rsidR="001335AC">
        <w:fldChar w:fldCharType="end"/>
      </w:r>
    </w:p>
    <w:p w:rsidR="00F658DF" w:rsidRDefault="00834E0F" w:rsidP="006D29FA">
      <w:pPr>
        <w:pStyle w:val="Ttulo1"/>
      </w:pPr>
      <w:r>
        <w:rPr>
          <w:noProof/>
          <w:lang w:eastAsia="es-ES"/>
        </w:rPr>
        <w:drawing>
          <wp:anchor distT="0" distB="0" distL="114300" distR="114300" simplePos="0" relativeHeight="251684352" behindDoc="0" locked="0" layoutInCell="1" allowOverlap="1" wp14:anchorId="472597ED" wp14:editId="0842375E">
            <wp:simplePos x="0" y="0"/>
            <wp:positionH relativeFrom="margin">
              <wp:posOffset>-57150</wp:posOffset>
            </wp:positionH>
            <wp:positionV relativeFrom="margin">
              <wp:posOffset>1196975</wp:posOffset>
            </wp:positionV>
            <wp:extent cx="3914775" cy="1803666"/>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111" t="54905" r="52199" b="17485"/>
                    <a:stretch/>
                  </pic:blipFill>
                  <pic:spPr bwMode="auto">
                    <a:xfrm>
                      <a:off x="0" y="0"/>
                      <a:ext cx="3914775" cy="1803666"/>
                    </a:xfrm>
                    <a:prstGeom prst="rect">
                      <a:avLst/>
                    </a:prstGeom>
                    <a:ln>
                      <a:noFill/>
                    </a:ln>
                    <a:extLst>
                      <a:ext uri="{53640926-AAD7-44D8-BBD7-CCE9431645EC}">
                        <a14:shadowObscured xmlns:a14="http://schemas.microsoft.com/office/drawing/2010/main"/>
                      </a:ext>
                    </a:extLst>
                  </pic:spPr>
                </pic:pic>
              </a:graphicData>
            </a:graphic>
          </wp:anchor>
        </w:drawing>
      </w:r>
    </w:p>
    <w:p w:rsidR="00F658DF" w:rsidRDefault="00F658DF" w:rsidP="006D29FA">
      <w:pPr>
        <w:pStyle w:val="Ttulo1"/>
      </w:pPr>
    </w:p>
    <w:p w:rsidR="00F658DF" w:rsidRDefault="00F658DF" w:rsidP="006D29FA">
      <w:pPr>
        <w:pStyle w:val="Ttulo1"/>
      </w:pPr>
    </w:p>
    <w:p w:rsidR="00F658DF" w:rsidRDefault="00F658DF" w:rsidP="006D29FA">
      <w:pPr>
        <w:pStyle w:val="Ttulo1"/>
      </w:pPr>
    </w:p>
    <w:p w:rsidR="00F658DF" w:rsidRDefault="00F658DF" w:rsidP="006D29FA">
      <w:pPr>
        <w:pStyle w:val="Ttulo1"/>
      </w:pPr>
    </w:p>
    <w:p w:rsidR="00F658DF" w:rsidRDefault="001F143A" w:rsidP="001F143A">
      <w:pPr>
        <w:pStyle w:val="Ttulo4"/>
      </w:pPr>
      <w:r>
        <w:t>Niveles de UL para yodo</w:t>
      </w:r>
      <w:r w:rsidR="001335AC">
        <w:t xml:space="preserve"> </w:t>
      </w:r>
      <w:r w:rsidR="001335AC">
        <w:fldChar w:fldCharType="begin" w:fldLock="1"/>
      </w:r>
      <w:r w:rsidR="001335AC">
        <w:instrText>ADDIN CSL_CITATION { "citationItems" : [ { "id" : "ITEM-1", "itemData" : { "URL" : "https://ods.od.nih.gov/factsheets/Iodine-HealthProfessional/", "accessed" : { "date-parts" : [ [ "2017", "12", "7" ] ] }, "id" : "ITEM-1", "issued" : { "date-parts" : [ [ "0" ] ] }, "title" : "Yodo - Hoja de informaci\u00f3n profesional de salud", "type" : "webpage" }, "uris" : [ "http://www.mendeley.com/documents/?uuid=8e3aaa48-63ff-35eb-b48d-20bbbe28e093" ] } ], "mendeley" : { "formattedCitation" : "(9)", "plainTextFormattedCitation" : "(9)", "previouslyFormattedCitation" : "(9)" }, "properties" : {  }, "schema" : "https://github.com/citation-style-language/schema/raw/master/csl-citation.json" }</w:instrText>
      </w:r>
      <w:r w:rsidR="001335AC">
        <w:fldChar w:fldCharType="separate"/>
      </w:r>
      <w:r w:rsidR="001335AC" w:rsidRPr="001335AC">
        <w:rPr>
          <w:i w:val="0"/>
          <w:noProof/>
        </w:rPr>
        <w:t>(9)</w:t>
      </w:r>
      <w:r w:rsidR="001335AC">
        <w:fldChar w:fldCharType="end"/>
      </w:r>
    </w:p>
    <w:p w:rsidR="001F143A" w:rsidRDefault="001F143A" w:rsidP="001F143A">
      <w:r>
        <w:rPr>
          <w:noProof/>
          <w:lang w:eastAsia="es-ES"/>
        </w:rPr>
        <w:drawing>
          <wp:anchor distT="0" distB="0" distL="114300" distR="114300" simplePos="0" relativeHeight="251707904" behindDoc="0" locked="0" layoutInCell="1" allowOverlap="1" wp14:anchorId="36F0C5BB" wp14:editId="4DDE7A10">
            <wp:simplePos x="0" y="0"/>
            <wp:positionH relativeFrom="margin">
              <wp:posOffset>-114300</wp:posOffset>
            </wp:positionH>
            <wp:positionV relativeFrom="margin">
              <wp:posOffset>3531870</wp:posOffset>
            </wp:positionV>
            <wp:extent cx="5498465" cy="1828629"/>
            <wp:effectExtent l="0" t="0" r="698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4111" t="47438" r="39323" b="25015"/>
                    <a:stretch/>
                  </pic:blipFill>
                  <pic:spPr bwMode="auto">
                    <a:xfrm>
                      <a:off x="0" y="0"/>
                      <a:ext cx="5498465" cy="1828629"/>
                    </a:xfrm>
                    <a:prstGeom prst="rect">
                      <a:avLst/>
                    </a:prstGeom>
                    <a:ln>
                      <a:noFill/>
                    </a:ln>
                    <a:extLst>
                      <a:ext uri="{53640926-AAD7-44D8-BBD7-CCE9431645EC}">
                        <a14:shadowObscured xmlns:a14="http://schemas.microsoft.com/office/drawing/2010/main"/>
                      </a:ext>
                    </a:extLst>
                  </pic:spPr>
                </pic:pic>
              </a:graphicData>
            </a:graphic>
          </wp:anchor>
        </w:drawing>
      </w:r>
      <w:bookmarkStart w:id="0" w:name="_GoBack"/>
      <w:bookmarkEnd w:id="0"/>
    </w:p>
    <w:p w:rsidR="001F143A" w:rsidRDefault="001335AC" w:rsidP="001335AC">
      <w:pPr>
        <w:pStyle w:val="Ttulo1"/>
      </w:pPr>
      <w:r>
        <w:t>EXCESO</w:t>
      </w:r>
    </w:p>
    <w:p w:rsidR="001335AC" w:rsidRDefault="001335AC" w:rsidP="001335AC"/>
    <w:p w:rsidR="001335AC" w:rsidRDefault="001335AC" w:rsidP="001335AC">
      <w:r>
        <w:t>Para la población general, las ingestas altas de yodo (en exceso de la UL) de alimentos, agua y suplementos se han asociado con los siguientes efectos adversos:</w:t>
      </w:r>
    </w:p>
    <w:p w:rsidR="001335AC" w:rsidRDefault="001335AC" w:rsidP="001335AC">
      <w:pPr>
        <w:pStyle w:val="Prrafodelista"/>
        <w:numPr>
          <w:ilvl w:val="0"/>
          <w:numId w:val="6"/>
        </w:numPr>
      </w:pPr>
      <w:r>
        <w:t xml:space="preserve">Tiroiditis </w:t>
      </w:r>
      <w:r w:rsidRPr="000F2824">
        <w:t xml:space="preserve"> </w:t>
      </w:r>
    </w:p>
    <w:p w:rsidR="001335AC" w:rsidRDefault="001335AC" w:rsidP="001335AC">
      <w:pPr>
        <w:pStyle w:val="Prrafodelista"/>
        <w:numPr>
          <w:ilvl w:val="0"/>
          <w:numId w:val="6"/>
        </w:numPr>
      </w:pPr>
      <w:r w:rsidRPr="000F2824">
        <w:t>B</w:t>
      </w:r>
      <w:r>
        <w:t xml:space="preserve">ocio </w:t>
      </w:r>
    </w:p>
    <w:p w:rsidR="001335AC" w:rsidRDefault="001335AC" w:rsidP="001335AC">
      <w:pPr>
        <w:pStyle w:val="Prrafodelista"/>
        <w:numPr>
          <w:ilvl w:val="0"/>
          <w:numId w:val="6"/>
        </w:numPr>
      </w:pPr>
      <w:r w:rsidRPr="000F2824">
        <w:t xml:space="preserve">Hipotiroidismo </w:t>
      </w:r>
    </w:p>
    <w:p w:rsidR="001335AC" w:rsidRDefault="001335AC" w:rsidP="001335AC">
      <w:pPr>
        <w:pStyle w:val="Prrafodelista"/>
        <w:numPr>
          <w:ilvl w:val="0"/>
          <w:numId w:val="6"/>
        </w:numPr>
      </w:pPr>
      <w:r w:rsidRPr="000F2824">
        <w:t>Hipertiroidismo</w:t>
      </w:r>
      <w:r>
        <w:t xml:space="preserve"> </w:t>
      </w:r>
    </w:p>
    <w:p w:rsidR="001335AC" w:rsidRDefault="001335AC" w:rsidP="001335AC">
      <w:pPr>
        <w:pStyle w:val="Prrafodelista"/>
        <w:numPr>
          <w:ilvl w:val="0"/>
          <w:numId w:val="6"/>
        </w:numPr>
      </w:pPr>
      <w:r>
        <w:t xml:space="preserve">Reacciones de sensibilidad </w:t>
      </w:r>
    </w:p>
    <w:p w:rsidR="001335AC" w:rsidRDefault="001335AC" w:rsidP="001335AC">
      <w:pPr>
        <w:pStyle w:val="Prrafodelista"/>
        <w:numPr>
          <w:ilvl w:val="0"/>
          <w:numId w:val="6"/>
        </w:numPr>
      </w:pPr>
      <w:r>
        <w:t xml:space="preserve">Cáncer papilar de la tiroides </w:t>
      </w:r>
    </w:p>
    <w:p w:rsidR="001335AC" w:rsidRDefault="001335AC" w:rsidP="001335AC">
      <w:pPr>
        <w:pStyle w:val="Prrafodelista"/>
        <w:numPr>
          <w:ilvl w:val="0"/>
          <w:numId w:val="6"/>
        </w:numPr>
      </w:pPr>
      <w:r w:rsidRPr="000F2824">
        <w:t>Efectos agudos de intoxicación por yodo, como quemazón de la boca, la garganta y el estómago; dolor abdominal; fiebre; náusea; vómito; Diarrea; pulso débil; irritabilid</w:t>
      </w:r>
      <w:r>
        <w:t>ad cardiaca; coma; y cianosis (e</w:t>
      </w:r>
      <w:r w:rsidRPr="000F2824">
        <w:t>stos síntomas son bastante raros y generalmente se aso</w:t>
      </w:r>
      <w:r>
        <w:t>cian con dosis extremadamente altas</w:t>
      </w:r>
      <w:r w:rsidRPr="000F2824">
        <w:t>)</w:t>
      </w:r>
      <w:r w:rsidR="009C7B52">
        <w:t xml:space="preserve"> </w:t>
      </w:r>
      <w:r w:rsidR="009C7B52">
        <w:fldChar w:fldCharType="begin" w:fldLock="1"/>
      </w:r>
      <w:r w:rsidR="009C7B52">
        <w:instrText>ADDIN CSL_CITATION { "citationItems" : [ { "id" : "ITEM-1", "itemData" : { "DOI" : "10.17226/10026", "ISBN" : "978-0-309-07279-3", "ISSN" : "0002-8223", "PMID" : "11269606", "abstract" : "This volume is the newest release in the authoritative series issued by the National Academy of Sciences on dietary reference intakes (DRIs). This series provides recommended intakes, such as Recommended Dietary Allowances (RDAs), for use in planning nutritionally adequate diets for individuals based on age and gender. In addition, a new reference intake, the Tolerable Upper Intake Level (UL), has also been established to assist an individual in knowing how much is \"too much\" of a nutrient. Based on the Institute of Medicine's review of the scientific literature regarding dietary micronutrients, recommendations have been formulated regarding vitamins A and K, iron, iodine, chromium, copper, manganese, molybdenum, zinc, and other potentially beneficial trace elements such as boron to determine the roles, if any, they play in health. The book also: Reviews selected components of food that may influence the bioavailability of these compounds. Develops estimates of dietary intake of these compounds that are compatible with good nutrition throughout the life span and that may decrease risk of chronic disease where data indicate they play a role. Determines Tolerable Upper Intake levels for each nutrient reviewed where adequate scientific data are available in specific population subgroups. Identifies research needed to improve knowledge of the role of these micronutrients in human health. This book will be important to professionals in nutrition research and education.", "author" : [ { "dropping-particle" : "", "family" : "Book", "given" : "G E T This", "non-dropping-particle" : "", "parse-names" : false, "suffix" : "" }, { "dropping-particle" : "", "family" : "Titles", "given" : "Find Related", "non-dropping-particle" : "", "parse-names" : false, "suffix" : "" } ], "id" : "ITEM-1", "issued" : { "date-parts" : [ [ "2001" ] ] }, "title" : "Dietary Reference Intakes for Vitamin A, Vitamin K, Arsenic, Boron, Chromium, Copper, Iodine, Iron, Manganese, Molybdenum, Nickel, Silicon, Vanadium, and Zinc", "type" : "book" }, "uris" : [ "http://www.mendeley.com/documents/?uuid=152e5b21-abcc-401c-a8f2-8e6f7710a9b8" ] } ], "mendeley" : { "formattedCitation" : "(10)", "plainTextFormattedCitation" : "(10)", "previouslyFormattedCitation" : "(10)" }, "properties" : {  }, "schema" : "https://github.com/citation-style-language/schema/raw/master/csl-citation.json" }</w:instrText>
      </w:r>
      <w:r w:rsidR="009C7B52">
        <w:fldChar w:fldCharType="separate"/>
      </w:r>
      <w:r w:rsidR="009C7B52" w:rsidRPr="009C7B52">
        <w:rPr>
          <w:noProof/>
        </w:rPr>
        <w:t>(10)</w:t>
      </w:r>
      <w:r w:rsidR="009C7B52">
        <w:fldChar w:fldCharType="end"/>
      </w:r>
    </w:p>
    <w:p w:rsidR="001335AC" w:rsidRDefault="001335AC" w:rsidP="001335AC"/>
    <w:p w:rsidR="002E1042" w:rsidRPr="002E1042" w:rsidRDefault="002E1042" w:rsidP="002E1042">
      <w:pPr>
        <w:pStyle w:val="Ttulo4"/>
        <w:rPr>
          <w:sz w:val="24"/>
        </w:rPr>
      </w:pPr>
      <w:r w:rsidRPr="002E1042">
        <w:rPr>
          <w:sz w:val="24"/>
        </w:rPr>
        <w:lastRenderedPageBreak/>
        <w:t>HIPERTIROIDISMO, HIPOTIROIDISMO Y BOCIO.</w:t>
      </w:r>
    </w:p>
    <w:p w:rsidR="002E1042" w:rsidRDefault="002E1042" w:rsidP="002E1042"/>
    <w:p w:rsidR="00632E00" w:rsidRDefault="00247229" w:rsidP="002E1042">
      <w:r>
        <w:t xml:space="preserve">HIPERTIROIDISMO. </w:t>
      </w:r>
      <w:r w:rsidRPr="00247229">
        <w:t>La causa más común (en más del 70% de las personas) es la sobreproducción de hormona tiroidea por parte de la glándula tiroides entera. Esta condición también se conoce como enfermedad de Graves.</w:t>
      </w:r>
    </w:p>
    <w:p w:rsidR="00632E00" w:rsidRDefault="00247229" w:rsidP="002E1042">
      <w:r w:rsidRPr="00247229">
        <w:t>La enfermedad de Graves es causada por anticuerpos en la sangre que activan la tiroides y la hacen crecer y secretan demasiada hormona tiroidea. Este tipo de hipertiroidismo tiende a darse en familias y ocurre con mayor frecuencia en mujeres jóvenes. Poco se sabe acerca de por qué las personas específicas contraen esta enfermedad. </w:t>
      </w:r>
    </w:p>
    <w:p w:rsidR="00632E00" w:rsidRDefault="00247229" w:rsidP="002E1042">
      <w:r w:rsidRPr="00247229">
        <w:t>Otro tipo de hipertiroidismo se caracteriza por uno o más nódulos o protuberancias en la tiroides que pueden crecer gradualmente y aumentar su actividad de modo que la producción total de hormona tiroidea en la sangre sea mayor de lo normal. Esta condición se conoce como </w:t>
      </w:r>
      <w:r w:rsidRPr="00247229">
        <w:rPr>
          <w:i/>
          <w:iCs/>
        </w:rPr>
        <w:t xml:space="preserve">nodular </w:t>
      </w:r>
      <w:proofErr w:type="spellStart"/>
      <w:r w:rsidRPr="00247229">
        <w:rPr>
          <w:i/>
          <w:iCs/>
        </w:rPr>
        <w:t>tóxico</w:t>
      </w:r>
      <w:r w:rsidRPr="00247229">
        <w:t>o</w:t>
      </w:r>
      <w:r w:rsidRPr="00247229">
        <w:rPr>
          <w:i/>
          <w:iCs/>
        </w:rPr>
        <w:t>bocio</w:t>
      </w:r>
      <w:proofErr w:type="spellEnd"/>
      <w:r w:rsidRPr="00247229">
        <w:rPr>
          <w:i/>
          <w:iCs/>
        </w:rPr>
        <w:t xml:space="preserve"> </w:t>
      </w:r>
      <w:proofErr w:type="spellStart"/>
      <w:proofErr w:type="gramStart"/>
      <w:r w:rsidRPr="00247229">
        <w:rPr>
          <w:i/>
          <w:iCs/>
        </w:rPr>
        <w:t>multinodular</w:t>
      </w:r>
      <w:proofErr w:type="spellEnd"/>
      <w:r w:rsidRPr="00247229">
        <w:t> . </w:t>
      </w:r>
      <w:proofErr w:type="gramEnd"/>
    </w:p>
    <w:p w:rsidR="00247229" w:rsidRDefault="00247229" w:rsidP="002E1042">
      <w:r w:rsidRPr="00247229">
        <w:t>Además, las personas pueden tener temporalmente síntomas de hipertiroidismo si tienen una afección llamada </w:t>
      </w:r>
      <w:proofErr w:type="gramStart"/>
      <w:r w:rsidRPr="00247229">
        <w:rPr>
          <w:i/>
          <w:iCs/>
        </w:rPr>
        <w:t>tiroiditis</w:t>
      </w:r>
      <w:r w:rsidRPr="00247229">
        <w:t> . </w:t>
      </w:r>
      <w:proofErr w:type="gramEnd"/>
      <w:r w:rsidRPr="00247229">
        <w:t>Esta condición es causada por un problema con el sistema inmune o una infección viral que hace que la glándula escape la hormona tiroidea almacenada. Los mismos síntomas también pueden ser causados ​​por tomar demasiada hormona tiroidea en forma de tabletas. Estas dos últimas formas de exceso de hormona tiroidea solo se llaman tirotoxicosis, ya que la tiroides no es hiperactiva.</w:t>
      </w:r>
    </w:p>
    <w:p w:rsidR="00247229" w:rsidRDefault="00247229" w:rsidP="002E1042"/>
    <w:p w:rsidR="00247229" w:rsidRPr="00247229" w:rsidRDefault="00247229" w:rsidP="00247229">
      <w:r>
        <w:t xml:space="preserve">HIPOTIROIDISMO. </w:t>
      </w:r>
      <w:r w:rsidRPr="00247229">
        <w:t>Puede haber muchas razones por las cuales las células en la glándula tiroides no pueden producir suficiente hormona tiroidea. Estas son las principales causas, desde la más común a la menos común.</w:t>
      </w:r>
    </w:p>
    <w:p w:rsidR="00247229" w:rsidRPr="00247229" w:rsidRDefault="00247229" w:rsidP="00247229">
      <w:pPr>
        <w:numPr>
          <w:ilvl w:val="0"/>
          <w:numId w:val="15"/>
        </w:numPr>
      </w:pPr>
      <w:r w:rsidRPr="00247229">
        <w:rPr>
          <w:b/>
          <w:bCs/>
          <w:i/>
          <w:iCs/>
        </w:rPr>
        <w:t>Enfermedad autoinmune. </w:t>
      </w:r>
      <w:r w:rsidRPr="00247229">
        <w:t>En el cuerpo de algunas personas, el sistema inmunitario que protege al cuerpo de infecciones invasoras puede confundir las células de la glándula tiroides y sus enzimas con los invasores y puede atacarlos. Entonces no quedan suficientes células tiroideas y enzimas para producir suficiente hormona tiroidea. Esto es más común en mujeres que en hombres. La tiroiditis autoinmune puede comenzar repentinamente o puede desarrollarse lentamente a lo largo de los años. Las formas más comunes son</w:t>
      </w:r>
      <w:hyperlink r:id="rId19" w:history="1">
        <w:r w:rsidRPr="00247229">
          <w:rPr>
            <w:rStyle w:val="Hipervnculo"/>
            <w:i/>
            <w:iCs/>
          </w:rPr>
          <w:t> la tiroiditis de Hashimoto</w:t>
        </w:r>
      </w:hyperlink>
      <w:r w:rsidRPr="00247229">
        <w:t> y la tiroiditis atrófica.</w:t>
      </w:r>
    </w:p>
    <w:p w:rsidR="00247229" w:rsidRPr="00247229" w:rsidRDefault="00247229" w:rsidP="00247229">
      <w:pPr>
        <w:numPr>
          <w:ilvl w:val="0"/>
          <w:numId w:val="15"/>
        </w:numPr>
      </w:pPr>
      <w:r w:rsidRPr="00247229">
        <w:rPr>
          <w:b/>
          <w:bCs/>
          <w:i/>
          <w:iCs/>
        </w:rPr>
        <w:t>Extirpación quirúrgica de parte o la totalidad de la glándula tiroides. </w:t>
      </w:r>
      <w:r w:rsidRPr="00247229">
        <w:t>Algunas personas con</w:t>
      </w:r>
      <w:hyperlink r:id="rId20" w:history="1">
        <w:r w:rsidRPr="00247229">
          <w:rPr>
            <w:rStyle w:val="Hipervnculo"/>
            <w:i/>
            <w:iCs/>
          </w:rPr>
          <w:t> nódulos tiroideos</w:t>
        </w:r>
      </w:hyperlink>
      <w:r w:rsidRPr="00247229">
        <w:t> ,</w:t>
      </w:r>
      <w:hyperlink r:id="rId21" w:history="1">
        <w:r w:rsidRPr="00247229">
          <w:rPr>
            <w:rStyle w:val="Hipervnculo"/>
            <w:i/>
            <w:iCs/>
          </w:rPr>
          <w:t>cáncer de tiroides</w:t>
        </w:r>
      </w:hyperlink>
      <w:r w:rsidRPr="00247229">
        <w:t> o</w:t>
      </w:r>
      <w:hyperlink r:id="rId22" w:history="1">
        <w:r w:rsidRPr="00247229">
          <w:rPr>
            <w:rStyle w:val="Hipervnculo"/>
            <w:i/>
            <w:iCs/>
          </w:rPr>
          <w:t> enfermedad de Graves</w:t>
        </w:r>
      </w:hyperlink>
      <w:r w:rsidRPr="00247229">
        <w:t> necesitan que se les extirpe parte o la totalidad de la tiroides. Si se elimina toda la tiroides, la gente definitivamente se convertirá en hipotiroidea. Si queda parte de la glándula, es posible que produzca suficiente hormona tiroidea para mantener niveles sanguíneos normales.</w:t>
      </w:r>
    </w:p>
    <w:p w:rsidR="00247229" w:rsidRPr="00247229" w:rsidRDefault="00247229" w:rsidP="00247229">
      <w:pPr>
        <w:numPr>
          <w:ilvl w:val="0"/>
          <w:numId w:val="15"/>
        </w:numPr>
      </w:pPr>
      <w:r w:rsidRPr="00247229">
        <w:rPr>
          <w:b/>
          <w:bCs/>
          <w:i/>
          <w:iCs/>
        </w:rPr>
        <w:t xml:space="preserve">El tratamiento de </w:t>
      </w:r>
      <w:proofErr w:type="gramStart"/>
      <w:r w:rsidRPr="00247229">
        <w:rPr>
          <w:b/>
          <w:bCs/>
          <w:i/>
          <w:iCs/>
        </w:rPr>
        <w:t>radiación</w:t>
      </w:r>
      <w:r w:rsidRPr="00247229">
        <w:rPr>
          <w:i/>
          <w:iCs/>
        </w:rPr>
        <w:t> . </w:t>
      </w:r>
      <w:proofErr w:type="gramEnd"/>
      <w:r w:rsidRPr="00247229">
        <w:t>Algunas personas con enfermedad de Graves, bocio nodular o cáncer de tiroides son tratadas con</w:t>
      </w:r>
      <w:hyperlink r:id="rId23" w:history="1">
        <w:r w:rsidRPr="00247229">
          <w:rPr>
            <w:rStyle w:val="Hipervnculo"/>
            <w:i/>
            <w:iCs/>
          </w:rPr>
          <w:t> yodo radioactivo</w:t>
        </w:r>
      </w:hyperlink>
      <w:r w:rsidRPr="00247229">
        <w:t xml:space="preserve"> (I-131) con el propósito de destruir su glándula tiroides. Los pacientes con enfermedad de </w:t>
      </w:r>
      <w:proofErr w:type="spellStart"/>
      <w:r w:rsidRPr="00247229">
        <w:t>Hodgkin</w:t>
      </w:r>
      <w:proofErr w:type="spellEnd"/>
      <w:r w:rsidRPr="00247229">
        <w:t>, linfoma o cáncer de cabeza o cuello son tratados con radiación. Todos estos pacientes pueden perder parte o la totalidad de su función tiroidea.</w:t>
      </w:r>
    </w:p>
    <w:p w:rsidR="00247229" w:rsidRPr="00247229" w:rsidRDefault="00247229" w:rsidP="00247229">
      <w:pPr>
        <w:numPr>
          <w:ilvl w:val="0"/>
          <w:numId w:val="15"/>
        </w:numPr>
      </w:pPr>
      <w:r w:rsidRPr="00247229">
        <w:rPr>
          <w:b/>
          <w:bCs/>
          <w:i/>
          <w:iCs/>
        </w:rPr>
        <w:lastRenderedPageBreak/>
        <w:t>Hipotiroidismo congénito (hipotiroidismo con el que nace un bebé). </w:t>
      </w:r>
      <w:r w:rsidRPr="00247229">
        <w:t>Unos pocos bebés nacen sin tiroides o con solo uno parcialmente formado. Algunos tienen parte o la totalidad de su tiroides en el lugar equivocado (tiroides ectópica). En algunos bebés, las células tiroideas o sus enzimas no funcionan bien.</w:t>
      </w:r>
    </w:p>
    <w:p w:rsidR="00247229" w:rsidRPr="00247229" w:rsidRDefault="00247229" w:rsidP="00247229">
      <w:pPr>
        <w:numPr>
          <w:ilvl w:val="0"/>
          <w:numId w:val="15"/>
        </w:numPr>
      </w:pPr>
      <w:r w:rsidRPr="00247229">
        <w:rPr>
          <w:b/>
          <w:bCs/>
          <w:i/>
          <w:iCs/>
        </w:rPr>
        <w:t>Tiroiditis </w:t>
      </w:r>
      <w:hyperlink r:id="rId24" w:history="1">
        <w:r w:rsidRPr="00247229">
          <w:rPr>
            <w:rStyle w:val="Hipervnculo"/>
            <w:i/>
            <w:iCs/>
          </w:rPr>
          <w:t>La tiroiditis</w:t>
        </w:r>
      </w:hyperlink>
      <w:r w:rsidRPr="00247229">
        <w:t> es una inflamación de la glándula tiroides, generalmente causada por un ataque autoinmune o por una infección viral. La tiroiditis puede hacer que la tiroides arroje todo su suministro de hormona tiroidea almacenada a la sangre de inmediato, lo que causa un breve hipertiroidismo (demasiada actividad tiroidea); entonces la tiroides se vuelve poco activa.</w:t>
      </w:r>
    </w:p>
    <w:p w:rsidR="00247229" w:rsidRPr="00247229" w:rsidRDefault="00247229" w:rsidP="00247229">
      <w:pPr>
        <w:numPr>
          <w:ilvl w:val="0"/>
          <w:numId w:val="15"/>
        </w:numPr>
      </w:pPr>
      <w:r w:rsidRPr="00247229">
        <w:rPr>
          <w:b/>
          <w:bCs/>
          <w:i/>
          <w:iCs/>
        </w:rPr>
        <w:t>Medicinas</w:t>
      </w:r>
      <w:r w:rsidRPr="00247229">
        <w:rPr>
          <w:i/>
          <w:iCs/>
        </w:rPr>
        <w:t>. </w:t>
      </w:r>
      <w:r w:rsidRPr="00247229">
        <w:t xml:space="preserve">Los medicamentos como la </w:t>
      </w:r>
      <w:proofErr w:type="spellStart"/>
      <w:r w:rsidRPr="00247229">
        <w:t>amiodarona</w:t>
      </w:r>
      <w:proofErr w:type="spellEnd"/>
      <w:r w:rsidRPr="00247229">
        <w:t>, el litio, el interferón alfa y la interleucina-2 pueden evitar que la glándula tiroides pueda producir hormonas normalmente. Es más probable que estos fármacos desencadenen hipotiroidismo en pacientes que tienen una tendencia genética a la enfermedad tiroidea autoinmune.</w:t>
      </w:r>
    </w:p>
    <w:p w:rsidR="00247229" w:rsidRPr="00632E00" w:rsidRDefault="00247229" w:rsidP="00247229">
      <w:pPr>
        <w:numPr>
          <w:ilvl w:val="0"/>
          <w:numId w:val="15"/>
        </w:numPr>
        <w:rPr>
          <w:u w:val="single"/>
        </w:rPr>
      </w:pPr>
      <w:r w:rsidRPr="00632E00">
        <w:rPr>
          <w:b/>
          <w:bCs/>
          <w:i/>
          <w:iCs/>
          <w:u w:val="single"/>
        </w:rPr>
        <w:t>Demasiado o muy poco yodo. </w:t>
      </w:r>
      <w:r w:rsidRPr="00632E00">
        <w:rPr>
          <w:u w:val="single"/>
        </w:rPr>
        <w:t>La glándula tiroides debe tener yodo para producir la hormona tiroidea. El yodo entra al cuerpo en los alimentos y viaja a través de la sangre hacia la tiroides. Mantener la producción de hormona tiroidea en equilibrio requiere la cantidad correcta de yodo. Tomar demasiado yodo puede causar o empeorar el hipotiroidismo.</w:t>
      </w:r>
    </w:p>
    <w:p w:rsidR="00247229" w:rsidRPr="00247229" w:rsidRDefault="00247229" w:rsidP="00247229">
      <w:pPr>
        <w:numPr>
          <w:ilvl w:val="0"/>
          <w:numId w:val="15"/>
        </w:numPr>
      </w:pPr>
      <w:r w:rsidRPr="00247229">
        <w:rPr>
          <w:b/>
          <w:bCs/>
          <w:i/>
          <w:iCs/>
        </w:rPr>
        <w:t>Daño a la glándula pituitaria. </w:t>
      </w:r>
      <w:r w:rsidRPr="00247229">
        <w:t>La pituitaria, la "glándula maestra", le dice a la tiroides cuánta hormona debe producir. Cuando la pituitaria es dañada por un tumor, radiación o cirugía, es posible que ya no pueda administrar las instrucciones para la tiroides, y la tiroides puede dejar de producir suficiente hormona.</w:t>
      </w:r>
    </w:p>
    <w:p w:rsidR="00247229" w:rsidRDefault="00247229" w:rsidP="002E1042">
      <w:pPr>
        <w:numPr>
          <w:ilvl w:val="0"/>
          <w:numId w:val="15"/>
        </w:numPr>
      </w:pPr>
      <w:r w:rsidRPr="00247229">
        <w:rPr>
          <w:b/>
          <w:bCs/>
          <w:i/>
          <w:iCs/>
        </w:rPr>
        <w:t>Desordenes raros que se infiltran en la tiroides. </w:t>
      </w:r>
      <w:r w:rsidRPr="00247229">
        <w:t xml:space="preserve">En algunas personas, las enfermedades depositan sustancias anormales en la tiroides y afectan su capacidad de funcionar. Por ejemplo, la </w:t>
      </w:r>
      <w:proofErr w:type="spellStart"/>
      <w:r w:rsidRPr="00247229">
        <w:t>amiloidosis</w:t>
      </w:r>
      <w:proofErr w:type="spellEnd"/>
      <w:r w:rsidRPr="00247229">
        <w:t xml:space="preserve"> puede depositar proteína </w:t>
      </w:r>
      <w:proofErr w:type="spellStart"/>
      <w:r w:rsidRPr="00247229">
        <w:t>amiloide</w:t>
      </w:r>
      <w:proofErr w:type="spellEnd"/>
      <w:r w:rsidRPr="00247229">
        <w:t xml:space="preserve">, la </w:t>
      </w:r>
      <w:proofErr w:type="spellStart"/>
      <w:r w:rsidRPr="00247229">
        <w:t>sarcoidosis</w:t>
      </w:r>
      <w:proofErr w:type="spellEnd"/>
      <w:r w:rsidRPr="00247229">
        <w:t xml:space="preserve"> puede depositar granulomas y la hemocromatosis puede depositar hierro.</w:t>
      </w:r>
      <w:r>
        <w:t xml:space="preserve"> </w:t>
      </w:r>
      <w:r>
        <w:fldChar w:fldCharType="begin" w:fldLock="1"/>
      </w:r>
      <w:r>
        <w:instrText>ADDIN CSL_CITATION { "citationItems" : [ { "id" : "ITEM-1", "itemData" : { "URL" : "https://www.thyroid.org/thyroid-information/", "accessed" : { "date-parts" : [ [ "2017", "12", "11" ] ] }, "id" : "ITEM-1", "issued" : { "date-parts" : [ [ "0" ] ] }, "title" : "Informaci\u00f3n tiroidea | Asociaci\u00f3n Americana de Tiroides", "type" : "webpage" }, "uris" : [ "http://www.mendeley.com/documents/?uuid=88cb0886-5d08-3ec5-b2a1-241b67d013e6" ] } ], "mendeley" : { "formattedCitation" : "(11)", "plainTextFormattedCitation" : "(11)", "previouslyFormattedCitation" : "(11)" }, "properties" : {  }, "schema" : "https://github.com/citation-style-language/schema/raw/master/csl-citation.json" }</w:instrText>
      </w:r>
      <w:r>
        <w:fldChar w:fldCharType="separate"/>
      </w:r>
      <w:r w:rsidRPr="00247229">
        <w:rPr>
          <w:noProof/>
        </w:rPr>
        <w:t>(11)</w:t>
      </w:r>
      <w:r>
        <w:fldChar w:fldCharType="end"/>
      </w:r>
    </w:p>
    <w:p w:rsidR="009C7B52" w:rsidRDefault="009C7B52" w:rsidP="002E1042"/>
    <w:p w:rsidR="009C7B52" w:rsidRDefault="00247229" w:rsidP="002E1042">
      <w:r>
        <w:t>BOCIO. S</w:t>
      </w:r>
      <w:r w:rsidR="009C7B52" w:rsidRPr="009C7B52">
        <w:t>implemente se refiere a un agrandamiento anormal de la glándula tiroides. Es importante saber que la presencia de un bocio no necesariamente indica que la glándula tiroides está funcionando mal. El bocio puede ocurrir en una glándula que está produciendo demasiada hormona (hipertiroidismo), muy poca hormona (hipotiroidismo) o la cantidad correcta (</w:t>
      </w:r>
      <w:proofErr w:type="spellStart"/>
      <w:r w:rsidR="009C7B52" w:rsidRPr="009C7B52">
        <w:t>eutiroidismo</w:t>
      </w:r>
      <w:proofErr w:type="spellEnd"/>
      <w:r w:rsidR="009C7B52" w:rsidRPr="009C7B52">
        <w:t>). El bocio indica que hay una condición que está causando un crecimiento anormal de la tiroides.</w:t>
      </w:r>
      <w:r w:rsidR="009C7B52">
        <w:t xml:space="preserve"> </w:t>
      </w:r>
      <w:r w:rsidR="009C7B52">
        <w:fldChar w:fldCharType="begin" w:fldLock="1"/>
      </w:r>
      <w:r>
        <w:instrText>ADDIN CSL_CITATION { "citationItems" : [ { "id" : "ITEM-1", "itemData" : { "abstract" : "La gl\u00e1ndula tiroides tiene forma de mariposa y normalmente se localiza en la parte de adelante del cuello, su trabajo es formar las hormonas tiroideas, volcarlas al torrente sangu\u00edneo y entregarla a todos los tejidos del cuerpo. Las hormonas tiroideas ayudan al cuerpo a utilizar energ\u00eda, mantener la temperatura corporal y a que el cerebro, el coraz\u00f3n, los m\u00fasculos y otros \u00f3rganos funcionen normalmente. \u00bfCU\u00c1LES SON LOS S\u00cdNTOMAS DEL BOCIO? El t\u00e9rmino \" bocio \" simplemente se refiere a un agrandamiento anormal de la gl\u00e1ndula tiroides. Es importante saber que la presencia de un bocio no necesariamente indica que la gl\u00e1ndula tiroides est\u00e1 funcionando mal. El bocio puede ocurrir en una gl\u00e1ndula que est\u00e1 produciendo demasiada hormona (hipertiroidismo), muy poca hormona (hipotiroidismo) o la cantidad correcta (eutiroidismo). El bocio indica que hay una condici\u00f3n que est\u00e1 causando un crecimiento anormal de la tiroides.", "author" : [ { "dropping-particle" : "", "family" : "Thyroid Association", "given" : "American", "non-dropping-particle" : "", "parse-names" : false, "suffix" : "" } ], "id" : "ITEM-1", "issued" : { "date-parts" : [ [ "0" ] ] }, "title" : "www.thyroid.org \u00bfQU\u00c9 ES LA GL\u00c1NDULA TIROIDES? \u00bfCU\u00c1LES SON LAS CAUSAS DEL BOCIO?", "type" : "article-journal" }, "uris" : [ "http://www.mendeley.com/documents/?uuid=ea220007-71b2-3595-9736-b774906dba17" ] } ], "mendeley" : { "formattedCitation" : "(12)", "plainTextFormattedCitation" : "(12)", "previouslyFormattedCitation" : "(12)" }, "properties" : {  }, "schema" : "https://github.com/citation-style-language/schema/raw/master/csl-citation.json" }</w:instrText>
      </w:r>
      <w:r w:rsidR="009C7B52">
        <w:fldChar w:fldCharType="separate"/>
      </w:r>
      <w:r w:rsidRPr="00247229">
        <w:rPr>
          <w:noProof/>
        </w:rPr>
        <w:t>(12)</w:t>
      </w:r>
      <w:r w:rsidR="009C7B52">
        <w:fldChar w:fldCharType="end"/>
      </w:r>
    </w:p>
    <w:p w:rsidR="009C7B52" w:rsidRDefault="009C7B52" w:rsidP="002E1042"/>
    <w:p w:rsidR="002E1042" w:rsidRPr="002E1042" w:rsidRDefault="00DF3199" w:rsidP="002E1042">
      <w:r w:rsidRPr="00DF3199">
        <w:t xml:space="preserve">Según un reciente estudio de población en España, la prevalencia de disfunción tiroidea es del 10% (0.8% de hipertiroidismo y 9.1% de hipotiroidismo). Considerando que existe un alto porcentaje de casos de </w:t>
      </w:r>
      <w:r>
        <w:t>hipotiroidismo sin diagnosticar.</w:t>
      </w:r>
      <w:r w:rsidR="009C7B52">
        <w:t xml:space="preserve"> Sin embargo, l</w:t>
      </w:r>
      <w:r w:rsidR="009C7B52" w:rsidRPr="009C7B52">
        <w:t>os estudios más recientes han encontrado una adecuada nutrición de yodo en adultos y niños en edad escolar, pero no así en mujeres gestantes, en quienes los requerimientos de yodo son mayore</w:t>
      </w:r>
      <w:r w:rsidR="009C7B52">
        <w:t xml:space="preserve">s. </w:t>
      </w:r>
      <w:r w:rsidR="00247229">
        <w:fldChar w:fldCharType="begin" w:fldLock="1"/>
      </w:r>
      <w:r w:rsidR="00247229">
        <w:instrText>ADDIN CSL_CITATION { "citationItems" : [ { "id" : "ITEM-1", "itemData" : { "DOI" : "10.1089/thy.2016.0353", "ISSN" : "1050-7256", "author" : [ { "dropping-particle" : "", "family" : "Vald\u00e9s", "given" : "Sergio", "non-dropping-particle" : "", "parse-names" : false, "suffix" : "" }, { "dropping-particle" : "", "family" : "Maldonado-Araque", "given" : "Cristina", "non-dropping-particle" : "", "parse-names" : false, "suffix" : "" }, { "dropping-particle" : "", "family" : "Lago-Sampedro", "given" : "Ana", "non-dropping-particle" : "", "parse-names" : false, "suffix" : "" }, { "dropping-particle" : "", "family" : "Lillo", "given" : "J. Antonio", "non-dropping-particle" : "", "parse-names" : false, "suffix" : "" }, { "dropping-particle" : "", "family" : "Garcia-Fuentes", "given" : "Eduardo", "non-dropping-particle" : "", "parse-names" : false, "suffix" : "" }, { "dropping-particle" : "", "family" : "Perez-Valero", "given" : "Vidal", "non-dropping-particle" : "", "parse-names" : false, "suffix" : "" }, { "dropping-particle" : "", "family" : "Gutierrez-Repiso", "given" : "Carolina", "non-dropping-particle" : "", "parse-names" : false, "suffix" : "" }, { "dropping-particle" : "", "family" : "Ocon-Sanchez", "given" : "Pilar", "non-dropping-particle" : "", "parse-names" : false, "suffix" : "" }, { "dropping-particle" : "", "family" : "Goday", "given" : "Albert", "non-dropping-particle" : "", "parse-names" : false, "suffix" : "" }, { "dropping-particle" : "", "family" : "Urrutia", "given" : "Ines", "non-dropping-particle" : "", "parse-names" : false, "suffix" : "" }, { "dropping-particle" : "", "family" : "Pel\u00e1ez", "given" : "Laura", "non-dropping-particle" : "", "parse-names" : false, "suffix" : "" }, { "dropping-particle" : "", "family" : "Calle-Pascual", "given" : "Alfonso", "non-dropping-particle" : "", "parse-names" : false, "suffix" : "" }, { "dropping-particle" : "", "family" : "Bordi\u00fa", "given" : "Elena", "non-dropping-particle" : "", "parse-names" : false, "suffix" : "" }, { "dropping-particle" : "", "family" : "Casta\u00f1o", "given" : "Luis", "non-dropping-particle" : "", "parse-names" : false, "suffix" : "" }, { "dropping-particle" : "", "family" : "Castell", "given" : "Conxa", "non-dropping-particle" : "", "parse-names" : false, "suffix" : "" }, { "dropping-particle" : "", "family" : "Delgado", "given" : "Elias", "non-dropping-particle" : "", "parse-names" : false, "suffix" : "" }, { "dropping-particle" : "", "family" : "Menendez", "given" : "Edelmiro", "non-dropping-particle" : "", "parse-names" : false, "suffix" : "" }, { "dropping-particle" : "", "family" : "Franch", "given" : "Josep", "non-dropping-particle" : "", "parse-names" : false, "suffix" : "" }, { "dropping-particle" : "", "family" : "Gaztambide", "given" : "Sonia", "non-dropping-particle" : "", "parse-names" : false, "suffix" : "" }, { "dropping-particle" : "", "family" : "Girb\u00e9s", "given" : "Joan", "non-dropping-particle" : "", "parse-names" : false, "suffix" : "" }, { "dropping-particle" : "", "family" : "Ortega", "given" : "Emilio", "non-dropping-particle" : "", "parse-names" : false, "suffix" : "" }, { "dropping-particle" : "", "family" : "Lopez-Alba", "given" : "Alfonso", "non-dropping-particle" : "", "parse-names" : false, "suffix" : "" }, { "dropping-particle" : "", "family" : "Chaves", "given" : "Felipe J.", "non-dropping-particle" : "", "parse-names" : false, "suffix" : "" }, { "dropping-particle" : "", "family" : "Vendrell", "given" : "Joan", "non-dropping-particle" : "", "parse-names" : false, "suffix" : "" }, { "dropping-particle" : "", "family" : "Chac\u00f3n", "given" : "Matilde R.", "non-dropping-particle" : "", "parse-names" : false, "suffix" : "" }, { "dropping-particle" : "", "family" : "Soriguer", "given" : "Federico", "non-dropping-particle" : "", "parse-names" : false, "suffix" : "" }, { "dropping-particle" : "", "family" : "Rojo-Mart\u00ednez", "given" : "Gemma", "non-dropping-particle" : "", "parse-names" : false, "suffix" : "" } ], "container-title" : "Thyroid", "id" : "ITEM-1", "issue" : "2", "issued" : { "date-parts" : [ [ "2017", "2" ] ] }, "page" : "156-166", "title" : "Population-Based National Prevalence of Thyroid Dysfunction in Spain and Associated Factors: Di@bet.es Study", "type" : "article-journal", "volume" : "27" }, "uris" : [ "http://www.mendeley.com/documents/?uuid=f0300e0e-294b-3b6f-8b93-bf1a39c53d00" ] } ], "mendeley" : { "formattedCitation" : "(13)", "plainTextFormattedCitation" : "(13)", "previouslyFormattedCitation" : "(13)" }, "properties" : {  }, "schema" : "https://github.com/citation-style-language/schema/raw/master/csl-citation.json" }</w:instrText>
      </w:r>
      <w:r w:rsidR="00247229">
        <w:fldChar w:fldCharType="separate"/>
      </w:r>
      <w:r w:rsidR="00247229" w:rsidRPr="00247229">
        <w:rPr>
          <w:noProof/>
        </w:rPr>
        <w:t>(13)</w:t>
      </w:r>
      <w:r w:rsidR="00247229">
        <w:fldChar w:fldCharType="end"/>
      </w:r>
    </w:p>
    <w:p w:rsidR="00F948C9" w:rsidRDefault="00F948C9" w:rsidP="00247229">
      <w:pPr>
        <w:pStyle w:val="Ttulo4"/>
        <w:rPr>
          <w:sz w:val="24"/>
        </w:rPr>
      </w:pPr>
    </w:p>
    <w:p w:rsidR="001335AC" w:rsidRPr="00247229" w:rsidRDefault="00247229" w:rsidP="00247229">
      <w:pPr>
        <w:pStyle w:val="Ttulo4"/>
        <w:rPr>
          <w:sz w:val="24"/>
        </w:rPr>
      </w:pPr>
      <w:r w:rsidRPr="00247229">
        <w:rPr>
          <w:sz w:val="24"/>
        </w:rPr>
        <w:t>CONSUMO DE ALGAS</w:t>
      </w:r>
    </w:p>
    <w:p w:rsidR="00247229" w:rsidRDefault="00247229" w:rsidP="00247229"/>
    <w:p w:rsidR="001953E0" w:rsidRDefault="00247229" w:rsidP="00247229">
      <w:pPr>
        <w:rPr>
          <w:bCs/>
        </w:rPr>
      </w:pPr>
      <w:r>
        <w:rPr>
          <w:bCs/>
        </w:rPr>
        <w:t xml:space="preserve">Existen algunos tipos de algas, cuyo contenido en yodo es </w:t>
      </w:r>
      <w:r w:rsidR="001953E0">
        <w:rPr>
          <w:bCs/>
        </w:rPr>
        <w:t xml:space="preserve">tan </w:t>
      </w:r>
      <w:r>
        <w:rPr>
          <w:bCs/>
        </w:rPr>
        <w:t xml:space="preserve">elevado, </w:t>
      </w:r>
      <w:r w:rsidR="001953E0">
        <w:rPr>
          <w:bCs/>
        </w:rPr>
        <w:t>que está desaconsejado su consumo habitual:</w:t>
      </w:r>
    </w:p>
    <w:p w:rsidR="001953E0" w:rsidRDefault="001953E0" w:rsidP="00247229">
      <w:pPr>
        <w:rPr>
          <w:bCs/>
        </w:rPr>
      </w:pPr>
      <w:r>
        <w:rPr>
          <w:noProof/>
          <w:lang w:eastAsia="es-ES"/>
        </w:rPr>
        <w:drawing>
          <wp:anchor distT="0" distB="0" distL="114300" distR="114300" simplePos="0" relativeHeight="251773440" behindDoc="0" locked="0" layoutInCell="1" allowOverlap="1" wp14:anchorId="4476F290" wp14:editId="2244469F">
            <wp:simplePos x="0" y="0"/>
            <wp:positionH relativeFrom="margin">
              <wp:posOffset>532765</wp:posOffset>
            </wp:positionH>
            <wp:positionV relativeFrom="margin">
              <wp:posOffset>1219200</wp:posOffset>
            </wp:positionV>
            <wp:extent cx="4143375" cy="2913311"/>
            <wp:effectExtent l="0" t="0" r="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341" t="39845" r="41792" b="17799"/>
                    <a:stretch/>
                  </pic:blipFill>
                  <pic:spPr bwMode="auto">
                    <a:xfrm>
                      <a:off x="0" y="0"/>
                      <a:ext cx="4143375" cy="2913311"/>
                    </a:xfrm>
                    <a:prstGeom prst="rect">
                      <a:avLst/>
                    </a:prstGeom>
                    <a:ln>
                      <a:noFill/>
                    </a:ln>
                    <a:extLst>
                      <a:ext uri="{53640926-AAD7-44D8-BBD7-CCE9431645EC}">
                        <a14:shadowObscured xmlns:a14="http://schemas.microsoft.com/office/drawing/2010/main"/>
                      </a:ext>
                    </a:extLst>
                  </pic:spPr>
                </pic:pic>
              </a:graphicData>
            </a:graphic>
          </wp:anchor>
        </w:drawing>
      </w: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953E0" w:rsidRDefault="001953E0" w:rsidP="00247229">
      <w:pPr>
        <w:rPr>
          <w:bCs/>
        </w:rPr>
      </w:pPr>
    </w:p>
    <w:p w:rsidR="001335AC" w:rsidRDefault="00CF6E0C" w:rsidP="001335AC">
      <w:r>
        <w:t xml:space="preserve">Sabemos por ejemplo, que </w:t>
      </w:r>
      <w:r w:rsidR="001953E0" w:rsidRPr="001953E0">
        <w:t xml:space="preserve">un solo gramo </w:t>
      </w:r>
      <w:proofErr w:type="gramStart"/>
      <w:r w:rsidR="001953E0" w:rsidRPr="001953E0">
        <w:t>de la</w:t>
      </w:r>
      <w:proofErr w:type="gramEnd"/>
      <w:r w:rsidR="001953E0" w:rsidRPr="001953E0">
        <w:t xml:space="preserve"> alga </w:t>
      </w:r>
      <w:proofErr w:type="spellStart"/>
      <w:r w:rsidR="001953E0" w:rsidRPr="001953E0">
        <w:rPr>
          <w:i/>
          <w:iCs/>
        </w:rPr>
        <w:t>kombu</w:t>
      </w:r>
      <w:proofErr w:type="spellEnd"/>
      <w:r w:rsidR="001953E0" w:rsidRPr="001953E0">
        <w:t> o </w:t>
      </w:r>
      <w:r w:rsidR="001953E0" w:rsidRPr="001953E0">
        <w:rPr>
          <w:i/>
          <w:iCs/>
        </w:rPr>
        <w:t>hierba de mar</w:t>
      </w:r>
      <w:r w:rsidR="001953E0" w:rsidRPr="001953E0">
        <w:t>, multiplica por 5 y por 8, respectivamente, el límite máximo de consumo de yodo establecido por las autoridades sanitarias.</w:t>
      </w:r>
      <w:r>
        <w:t xml:space="preserve"> </w:t>
      </w:r>
      <w:r w:rsidR="00632E00">
        <w:t>P</w:t>
      </w:r>
      <w:r>
        <w:t>or lo que, si bien existen</w:t>
      </w:r>
      <w:r w:rsidR="00247229" w:rsidRPr="00247229">
        <w:t xml:space="preserve"> pérdidas de yodo ocasionadas al poner el </w:t>
      </w:r>
      <w:r w:rsidR="00632E00">
        <w:t>alga en remojo y al coci</w:t>
      </w:r>
      <w:r>
        <w:t>narlas, no</w:t>
      </w:r>
      <w:r w:rsidR="00632E00">
        <w:t xml:space="preserve"> contamos con estudios que cuantifiquen dicha pérdida.</w:t>
      </w:r>
      <w:r>
        <w:t xml:space="preserve"> </w:t>
      </w:r>
      <w:r>
        <w:fldChar w:fldCharType="begin" w:fldLock="1"/>
      </w:r>
      <w:r>
        <w:instrText>ADDIN CSL_CITATION { "citationItems" : [ { "id" : "ITEM-1", "itemData" : { "DOI" : "10.1210/jc.2008-2390", "ISSN" : "0021-972X", "author" : [ { "dropping-particle" : "", "family" : "Guan", "given" : "Haixia", "non-dropping-particle" : "", "parse-names" : false, "suffix" : "" }, { "dropping-particle" : "", "family" : "Ji", "given" : "Meiju", "non-dropping-particle" : "", "parse-names" : false, "suffix" : "" }, { "dropping-particle" : "", "family" : "Bao", "given" : "Rong", "non-dropping-particle" : "", "parse-names" : false, "suffix" : "" }, { "dropping-particle" : "", "family" : "Yu", "given" : "Hongyu", "non-dropping-particle" : "", "parse-names" : false, "suffix" : "" }, { "dropping-particle" : "", "family" : "Wang", "given" : "Yangang", "non-dropping-particle" : "", "parse-names" : false, "suffix" : "" }, { "dropping-particle" : "", "family" : "Hou", "given" : "Peng", "non-dropping-particle" : "", "parse-names" : false, "suffix" : "" }, { "dropping-particle" : "", "family" : "Zhang", "given" : "Yong", "non-dropping-particle" : "", "parse-names" : false, "suffix" : "" }, { "dropping-particle" : "", "family" : "Shan", "given" : "Zhongyan", "non-dropping-particle" : "", "parse-names" : false, "suffix" : "" }, { "dropping-particle" : "", "family" : "Teng", "given" : "Weiping", "non-dropping-particle" : "", "parse-names" : false, "suffix" : "" }, { "dropping-particle" : "", "family" : "Xing", "given" : "Mingzhao", "non-dropping-particle" : "", "parse-names" : false, "suffix" : "" } ], "container-title" : "The Journal of Clinical Endocrinology &amp; Metabolism", "id" : "ITEM-1", "issue" : "5", "issued" : { "date-parts" : [ [ "2009", "5" ] ] }, "page" : "1612-1617", "title" : "Association of High Iodine Intake with the T1799A &lt;i&gt;BRAF&lt;/i&gt; Mutation in Papillary Thyroid Cancer", "type" : "article-journal", "volume" : "94" }, "uris" : [ "http://www.mendeley.com/documents/?uuid=7c63c8a8-96c7-3844-8ed7-f545148b3827" ] } ], "mendeley" : { "formattedCitation" : "(14)", "plainTextFormattedCitation" : "(14)", "previouslyFormattedCitation" : "(14)" }, "properties" : {  }, "schema" : "https://github.com/citation-style-language/schema/raw/master/csl-citation.json" }</w:instrText>
      </w:r>
      <w:r>
        <w:fldChar w:fldCharType="separate"/>
      </w:r>
      <w:r w:rsidRPr="00CF6E0C">
        <w:rPr>
          <w:noProof/>
        </w:rPr>
        <w:t>(14)</w:t>
      </w:r>
      <w:r>
        <w:fldChar w:fldCharType="end"/>
      </w:r>
    </w:p>
    <w:p w:rsidR="001335AC" w:rsidRDefault="001335AC" w:rsidP="001F143A"/>
    <w:p w:rsidR="00CF6E0C" w:rsidRPr="001F143A" w:rsidRDefault="00CF6E0C" w:rsidP="001F143A"/>
    <w:p w:rsidR="006D29FA" w:rsidRDefault="006D29FA" w:rsidP="006D29FA">
      <w:pPr>
        <w:pStyle w:val="Ttulo1"/>
      </w:pPr>
      <w:r>
        <w:t>TRATAMIENTO NUTRICIONAL Y SUPLEMENTACIÓN</w:t>
      </w:r>
    </w:p>
    <w:p w:rsidR="00A1082D" w:rsidRDefault="00A1082D" w:rsidP="006D29FA"/>
    <w:p w:rsidR="00A1082D" w:rsidRDefault="00A1082D" w:rsidP="00A1082D">
      <w:pPr>
        <w:pStyle w:val="Ttulo2"/>
      </w:pPr>
      <w:r>
        <w:t>Deficiencia</w:t>
      </w:r>
    </w:p>
    <w:p w:rsidR="00600902" w:rsidRDefault="00600902" w:rsidP="001F143A"/>
    <w:p w:rsidR="00F948C9" w:rsidRDefault="00F948C9" w:rsidP="001F143A">
      <w:r>
        <w:t>En España, actualmente, es</w:t>
      </w:r>
      <w:r w:rsidR="00600902" w:rsidRPr="00600902">
        <w:t xml:space="preserve"> considerada como un área con riesgo moderado-bajo de deficiencia de yodo. </w:t>
      </w:r>
      <w:r>
        <w:t xml:space="preserve">Por lo que, </w:t>
      </w:r>
      <w:r>
        <w:t xml:space="preserve">se </w:t>
      </w:r>
      <w:r w:rsidRPr="00600902">
        <w:t>debe valorar cada caso de forma individualizada en función de su patrón dietético (incluyendo el consumo de sal yodada), la zona en la</w:t>
      </w:r>
      <w:r>
        <w:t xml:space="preserve"> que vive y su historia clínica para detectar una deficiencia. </w:t>
      </w:r>
      <w:r>
        <w:fldChar w:fldCharType="begin" w:fldLock="1"/>
      </w:r>
      <w:r>
        <w:instrText>ADDIN CSL_CITATION { "citationItems" : [ { "id" : "ITEM-1", "itemData" : { "author" : [ { "dropping-particle" : "", "family" : "Preliminares", "given" : "Conceptos", "non-dropping-particle" : "", "parse-names" : false, "suffix" : "" } ], "id" : "ITEM-1", "issue" : "1", "issued" : { "date-parts" : [ [ "2004" ] ] }, "page" : "2-13", "title" : "Grupo de Trastornos por Deficiencia de Yodo D\u00e9ficit de yodo en Espa\u00f1a : situaci\u00f3n actual", "type" : "article-journal", "volume" : "51" }, "uris" : [ "http://www.mendeley.com/documents/?uuid=3cee4a6f-9e16-4c0b-a529-6a063c3b9b6f" ] } ], "mendeley" : { "formattedCitation" : "(8)", "plainTextFormattedCitation" : "(8)", "previouslyFormattedCitation" : "(8)" }, "properties" : {  }, "schema" : "https://github.com/citation-style-language/schema/raw/master/csl-citation.json" }</w:instrText>
      </w:r>
      <w:r>
        <w:fldChar w:fldCharType="separate"/>
      </w:r>
      <w:r w:rsidRPr="00600902">
        <w:rPr>
          <w:noProof/>
        </w:rPr>
        <w:t>(8)</w:t>
      </w:r>
      <w:r>
        <w:fldChar w:fldCharType="end"/>
      </w:r>
    </w:p>
    <w:p w:rsidR="00F60ED9" w:rsidRDefault="00040B0F" w:rsidP="00F60ED9">
      <w:r>
        <w:t>En caso de constatarse tal deficiencia, se procedería a la elaboración de una dieta rica en yodo (según la RDA aplicable a esa persona) buscando como fuente del mismo alimentos y dejando como segunda opción</w:t>
      </w:r>
      <w:r w:rsidR="001953E0">
        <w:t xml:space="preserve">, la adición de sal yodada, sin superar los 5g/día recomendados por la OMS, manteniendo una media de 3g/día. </w:t>
      </w:r>
      <w:r w:rsidR="00F60ED9">
        <w:t>No es recomendable en ningún caso, recomendar la ingesta de algas de forma diaria, sino dejarlas para un consumo ocasional.</w:t>
      </w:r>
    </w:p>
    <w:p w:rsidR="00CF6E0C" w:rsidRDefault="00CF6E0C" w:rsidP="00CF6E0C"/>
    <w:p w:rsidR="00CF6E0C" w:rsidRDefault="00CF6E0C" w:rsidP="00CF6E0C"/>
    <w:p w:rsidR="00CF6E0C" w:rsidRDefault="00CF6E0C" w:rsidP="00CF6E0C">
      <w:r>
        <w:t>A la hora de elaborar un plan dietético, hay que tener en cuenta ciertas interacciones con alimentos:</w:t>
      </w:r>
    </w:p>
    <w:p w:rsidR="00CF6E0C" w:rsidRDefault="00F60ED9" w:rsidP="00CF6E0C">
      <w:pPr>
        <w:pStyle w:val="Prrafodelista"/>
        <w:numPr>
          <w:ilvl w:val="0"/>
          <w:numId w:val="11"/>
        </w:numPr>
      </w:pPr>
      <w:r>
        <w:t>Derivados de</w:t>
      </w:r>
      <w:r w:rsidR="00CF6E0C" w:rsidRPr="0008538B">
        <w:t xml:space="preserve"> soja inhibe la absorción de yodo</w:t>
      </w:r>
      <w:r w:rsidR="00CF6E0C">
        <w:t>.</w:t>
      </w:r>
      <w:r w:rsidR="00A7471F">
        <w:t xml:space="preserve"> </w:t>
      </w:r>
      <w:r w:rsidR="00A7471F">
        <w:fldChar w:fldCharType="begin" w:fldLock="1"/>
      </w:r>
      <w:r w:rsidR="00A7471F">
        <w:instrText>ADDIN CSL_CITATION { "citationItems" : [ { "id" : "ITEM-1", "itemData" : { "URL" : "https://www.pennutrition.com/KnowledgePathway.aspx?kpid=6927&amp;pqcatid=146&amp;pqid=7110", "accessed" : { "date-parts" : [ [ "2017", "12", "11" ] ] }, "id" : "ITEM-1", "issued" : { "date-parts" : [ [ "0" ] ] }, "title" : "PEN: evidencia basada en la pr\u00e1ctica en nutrici\u00f3n", "type" : "webpage" }, "uris" : [ "http://www.mendeley.com/documents/?uuid=8c1f85f7-8f0f-35f2-9d30-9d4863ffb494" ] } ], "mendeley" : { "formattedCitation" : "(15)", "plainTextFormattedCitation" : "(15)", "previouslyFormattedCitation" : "(15)" }, "properties" : {  }, "schema" : "https://github.com/citation-style-language/schema/raw/master/csl-citation.json" }</w:instrText>
      </w:r>
      <w:r w:rsidR="00A7471F">
        <w:fldChar w:fldCharType="separate"/>
      </w:r>
      <w:r w:rsidR="00A7471F" w:rsidRPr="00A7471F">
        <w:rPr>
          <w:noProof/>
        </w:rPr>
        <w:t>(15)</w:t>
      </w:r>
      <w:r w:rsidR="00A7471F">
        <w:fldChar w:fldCharType="end"/>
      </w:r>
    </w:p>
    <w:p w:rsidR="00CF6E0C" w:rsidRDefault="00F60ED9" w:rsidP="00847606">
      <w:pPr>
        <w:pStyle w:val="Prrafodelista"/>
        <w:numPr>
          <w:ilvl w:val="0"/>
          <w:numId w:val="11"/>
        </w:numPr>
      </w:pPr>
      <w:r>
        <w:t>A</w:t>
      </w:r>
      <w:r w:rsidR="00CF6E0C" w:rsidRPr="0008538B">
        <w:t>limentos</w:t>
      </w:r>
      <w:r>
        <w:t xml:space="preserve"> que contienen </w:t>
      </w:r>
      <w:proofErr w:type="spellStart"/>
      <w:r>
        <w:t>goitrógenos</w:t>
      </w:r>
      <w:proofErr w:type="spellEnd"/>
      <w:r>
        <w:t xml:space="preserve"> (</w:t>
      </w:r>
      <w:r w:rsidR="00CF6E0C" w:rsidRPr="0008538B">
        <w:t>que interfieren con la producción o utilización de la hormona tiroidea</w:t>
      </w:r>
      <w:r>
        <w:t>)</w:t>
      </w:r>
      <w:r w:rsidR="00CF6E0C">
        <w:t xml:space="preserve">: </w:t>
      </w:r>
      <w:r>
        <w:t xml:space="preserve">yuca, mijo, nabos, rábanos, mostaza, </w:t>
      </w:r>
      <w:r w:rsidR="00CF6E0C" w:rsidRPr="0008538B">
        <w:t>verduras crucíferas (por ejemplo, repollo</w:t>
      </w:r>
      <w:r>
        <w:t xml:space="preserve">, brócoli, </w:t>
      </w:r>
      <w:proofErr w:type="spellStart"/>
      <w:r>
        <w:t>etc</w:t>
      </w:r>
      <w:proofErr w:type="spellEnd"/>
      <w:r>
        <w:t xml:space="preserve">). Es importante no consumirlos de manera frecuente, y en caso de hacerlo, someterlos a cocción. </w:t>
      </w:r>
      <w:r>
        <w:fldChar w:fldCharType="begin" w:fldLock="1"/>
      </w:r>
      <w:r>
        <w:instrText>ADDIN CSL_CITATION { "citationItems" : [ { "id" : "ITEM-1", "itemData" : { "URL" : "http://www.consumer.es/web/es/alimentacion/aprender_a_comer_bien/enfermedad/2010/01/29/190795.php", "accessed" : { "date-parts" : [ [ "2017", "12", "11" ] ] }, "id" : "ITEM-1", "issued" : { "date-parts" : [ [ "0" ] ] }, "title" : "Sustancias boci\u00f3genas en vegetales | EROSKI CONSUMER", "type" : "webpage" }, "uris" : [ "http://www.mendeley.com/documents/?uuid=a37ced44-505c-3add-8635-f765c62cedf2" ] } ], "mendeley" : { "formattedCitation" : "(16)", "plainTextFormattedCitation" : "(16)", "previouslyFormattedCitation" : "(16)" }, "properties" : {  }, "schema" : "https://github.com/citation-style-language/schema/raw/master/csl-citation.json" }</w:instrText>
      </w:r>
      <w:r>
        <w:fldChar w:fldCharType="separate"/>
      </w:r>
      <w:r w:rsidRPr="00F60ED9">
        <w:rPr>
          <w:noProof/>
        </w:rPr>
        <w:t>(16)</w:t>
      </w:r>
      <w:r>
        <w:fldChar w:fldCharType="end"/>
      </w:r>
    </w:p>
    <w:p w:rsidR="00F948C9" w:rsidRDefault="00CF6E0C" w:rsidP="001F143A">
      <w:r>
        <w:t>Por otra parte</w:t>
      </w:r>
      <w:r w:rsidR="00600902" w:rsidRPr="00600902">
        <w:t>, no existen pruebas que permitan concluir</w:t>
      </w:r>
      <w:r w:rsidR="00F948C9">
        <w:t xml:space="preserve"> que a través del consumo de</w:t>
      </w:r>
      <w:r w:rsidR="00600902" w:rsidRPr="00600902">
        <w:t xml:space="preserve"> yodo dietético (incluyendo la sal yodada) se logre disminuir el riesgo de ingesta insuficie</w:t>
      </w:r>
      <w:r w:rsidR="00F948C9">
        <w:t>nte de yodo durante el embarazo y lactancia, ya que en estos casos las necesidades están aumentadas.</w:t>
      </w:r>
    </w:p>
    <w:p w:rsidR="00F948C9" w:rsidRDefault="00600902" w:rsidP="001F143A">
      <w:r w:rsidRPr="00600902">
        <w:t xml:space="preserve">En consecuencia, la recomendación de suplementación sistemática con yodo (200µg/día) para todas las embarazadas aunque podría no estar plenamente justificada parece ser la aproximación con una mejor relación riesgo-beneficio y que mejor cumpla con el principio de precaución. </w:t>
      </w:r>
    </w:p>
    <w:p w:rsidR="00A1082D" w:rsidRDefault="00600902" w:rsidP="00A1082D">
      <w:r w:rsidRPr="00600902">
        <w:t>En todo</w:t>
      </w:r>
      <w:r w:rsidR="00F948C9">
        <w:t xml:space="preserve"> caso, una valoración dietético-nutricional, podría</w:t>
      </w:r>
      <w:r w:rsidRPr="00600902">
        <w:t xml:space="preserve"> justificar la no suplementación en caso de sospecha de afectación de la tiroides (guía de buenas prácticas).</w:t>
      </w:r>
      <w:r w:rsidR="00A7021E">
        <w:t xml:space="preserve"> </w:t>
      </w:r>
      <w:r w:rsidR="00A7021E">
        <w:fldChar w:fldCharType="begin" w:fldLock="1"/>
      </w:r>
      <w:r w:rsidR="00F60ED9">
        <w:instrText>ADDIN CSL_CITATION { "citationItems" : [ { "id" : "ITEM-1", "itemData" : { "author" : [ { "dropping-particle" : "", "family" : "Sobre", "given" : "Revisi\u00f3n Cient\u00edfica", "non-dropping-particle" : "", "parse-names" : false, "suffix" : "" }, { "dropping-particle" : "", "family" : "Alimentaci\u00f3n", "given" : "La", "non-dropping-particle" : "", "parse-names" : false, "suffix" : "" }, { "dropping-particle" : "", "family" : "Nutrici\u00f3n", "given" : "Y", "non-dropping-particle" : "", "parse-names" : false, "suffix" : "" }, { "dropping-particle" : "", "family" : "La", "given" : "En", "non-dropping-particle" : "", "parse-names" : false, "suffix" : "" }, { "dropping-particle" : "", "family" : "Embarazada", "given" : "Mujer", "non-dropping-particle" : "", "parse-names" : false, "suffix" : "" } ], "id" : "ITEM-1", "issued" : { "date-parts" : [ [ "0" ] ] }, "title" : "#EmbarazoSaludable", "type" : "article-journal" }, "uris" : [ "http://www.mendeley.com/documents/?uuid=4434eaa5-1740-3cb2-bcb8-e2857fe9fece" ] } ], "mendeley" : { "formattedCitation" : "(17)", "plainTextFormattedCitation" : "(17)", "previouslyFormattedCitation" : "(17)" }, "properties" : {  }, "schema" : "https://github.com/citation-style-language/schema/raw/master/csl-citation.json" }</w:instrText>
      </w:r>
      <w:r w:rsidR="00A7021E">
        <w:fldChar w:fldCharType="separate"/>
      </w:r>
      <w:r w:rsidR="00F60ED9" w:rsidRPr="00F60ED9">
        <w:rPr>
          <w:noProof/>
        </w:rPr>
        <w:t>(17)</w:t>
      </w:r>
      <w:r w:rsidR="00A7021E">
        <w:fldChar w:fldCharType="end"/>
      </w:r>
    </w:p>
    <w:p w:rsidR="00A1082D" w:rsidRDefault="00A1082D" w:rsidP="00A1082D"/>
    <w:p w:rsidR="00A1082D" w:rsidRDefault="00A1082D" w:rsidP="00A1082D"/>
    <w:p w:rsidR="00A1082D" w:rsidRPr="00A1082D" w:rsidRDefault="00A1082D" w:rsidP="00A1082D"/>
    <w:p w:rsidR="006D29FA" w:rsidRPr="006D29FA" w:rsidRDefault="006D29FA" w:rsidP="006D29FA">
      <w:pPr>
        <w:pStyle w:val="Ttulo1"/>
      </w:pPr>
      <w:r>
        <w:t>BIBLIOGRAFÍA</w:t>
      </w:r>
    </w:p>
    <w:p w:rsidR="006D29FA" w:rsidRDefault="006D29FA" w:rsidP="006D29FA"/>
    <w:p w:rsidR="00F63925" w:rsidRPr="003A3E0A" w:rsidRDefault="00F63925" w:rsidP="003A3E0A">
      <w:pPr>
        <w:pStyle w:val="Prrafodelista"/>
        <w:numPr>
          <w:ilvl w:val="0"/>
          <w:numId w:val="13"/>
        </w:numPr>
        <w:rPr>
          <w:lang w:val="en-GB"/>
        </w:rPr>
      </w:pPr>
      <w:r w:rsidRPr="003A3E0A">
        <w:rPr>
          <w:lang w:val="en-GB"/>
        </w:rPr>
        <w:t xml:space="preserve">Panel E, </w:t>
      </w:r>
      <w:proofErr w:type="spellStart"/>
      <w:r w:rsidRPr="003A3E0A">
        <w:rPr>
          <w:lang w:val="en-GB"/>
        </w:rPr>
        <w:t>Nda</w:t>
      </w:r>
      <w:proofErr w:type="spellEnd"/>
      <w:r w:rsidRPr="003A3E0A">
        <w:rPr>
          <w:lang w:val="en-GB"/>
        </w:rPr>
        <w:t xml:space="preserve"> A. Scientific Opinion on Dietary Reference Values for iodine. EFSA J [Internet]. 2014</w:t>
      </w:r>
      <w:proofErr w:type="gramStart"/>
      <w:r w:rsidRPr="003A3E0A">
        <w:rPr>
          <w:lang w:val="en-GB"/>
        </w:rPr>
        <w:t>;12</w:t>
      </w:r>
      <w:proofErr w:type="gramEnd"/>
      <w:r w:rsidRPr="003A3E0A">
        <w:rPr>
          <w:lang w:val="en-GB"/>
        </w:rPr>
        <w:t xml:space="preserve">(5):1–57. Available from: </w:t>
      </w:r>
      <w:hyperlink r:id="rId26" w:history="1">
        <w:r w:rsidRPr="003A3E0A">
          <w:rPr>
            <w:rStyle w:val="Hipervnculo"/>
            <w:lang w:val="en-GB"/>
          </w:rPr>
          <w:t>http://doi.wiley.com/10.2903/j.efsa.2014.3660</w:t>
        </w:r>
      </w:hyperlink>
    </w:p>
    <w:p w:rsidR="00F63925" w:rsidRDefault="001F143A" w:rsidP="003A3E0A">
      <w:pPr>
        <w:pStyle w:val="Prrafodelista"/>
        <w:numPr>
          <w:ilvl w:val="0"/>
          <w:numId w:val="13"/>
        </w:numPr>
      </w:pPr>
      <w:r>
        <w:t>Preliminares C. Grupo de Trastornos por Deficiencia de Yodo Déficit de yodo en España : situación actual. 2004</w:t>
      </w:r>
      <w:proofErr w:type="gramStart"/>
      <w:r>
        <w:t>;51</w:t>
      </w:r>
      <w:proofErr w:type="gramEnd"/>
      <w:r>
        <w:t>(1):2–13.</w:t>
      </w:r>
    </w:p>
    <w:p w:rsidR="001335AC" w:rsidRPr="001335AC" w:rsidRDefault="001335AC" w:rsidP="003A3E0A">
      <w:pPr>
        <w:pStyle w:val="Prrafodelista"/>
        <w:numPr>
          <w:ilvl w:val="0"/>
          <w:numId w:val="13"/>
        </w:numPr>
        <w:rPr>
          <w:lang w:val="en-GB"/>
        </w:rPr>
      </w:pPr>
      <w:r>
        <w:t xml:space="preserve">Yodo - Hoja de información profesional de salud [Internet]. </w:t>
      </w:r>
      <w:r w:rsidRPr="001335AC">
        <w:rPr>
          <w:lang w:val="en-GB"/>
        </w:rPr>
        <w:t>[</w:t>
      </w:r>
      <w:proofErr w:type="gramStart"/>
      <w:r w:rsidRPr="001335AC">
        <w:rPr>
          <w:lang w:val="en-GB"/>
        </w:rPr>
        <w:t>cited</w:t>
      </w:r>
      <w:proofErr w:type="gramEnd"/>
      <w:r w:rsidRPr="001335AC">
        <w:rPr>
          <w:lang w:val="en-GB"/>
        </w:rPr>
        <w:t xml:space="preserve"> 2017 Dec 11]. Available from: https://ods.od.nih.gov/factsheets/Iodine-HealthProfessional/</w:t>
      </w:r>
    </w:p>
    <w:p w:rsidR="001335AC" w:rsidRDefault="001335AC" w:rsidP="003A3E0A">
      <w:pPr>
        <w:pStyle w:val="Prrafodelista"/>
        <w:numPr>
          <w:ilvl w:val="0"/>
          <w:numId w:val="13"/>
        </w:numPr>
      </w:pPr>
      <w:r w:rsidRPr="001335AC">
        <w:rPr>
          <w:lang w:val="en-GB"/>
        </w:rPr>
        <w:t xml:space="preserve">Book GETT, Titles FR. Dietary Reference Intakes for Vitamin A, Vitamin K, Arsenic, Boron, Chromium, Copper, Iodine, Iron, Manganese, Molybdenum, Nickel, Silicon, Vanadium, and Zinc [Internet]. </w:t>
      </w:r>
      <w:r>
        <w:t xml:space="preserve">2001. </w:t>
      </w:r>
      <w:proofErr w:type="spellStart"/>
      <w:r>
        <w:t>Available</w:t>
      </w:r>
      <w:proofErr w:type="spellEnd"/>
      <w:r>
        <w:t xml:space="preserve"> </w:t>
      </w:r>
      <w:proofErr w:type="spellStart"/>
      <w:r>
        <w:t>from</w:t>
      </w:r>
      <w:proofErr w:type="spellEnd"/>
      <w:r>
        <w:t xml:space="preserve">: </w:t>
      </w:r>
      <w:hyperlink r:id="rId27" w:history="1">
        <w:r w:rsidR="009C7B52" w:rsidRPr="00D90A77">
          <w:rPr>
            <w:rStyle w:val="Hipervnculo"/>
          </w:rPr>
          <w:t>http://www.nap.edu/catalog/10026</w:t>
        </w:r>
      </w:hyperlink>
    </w:p>
    <w:p w:rsidR="00247229" w:rsidRPr="00247229" w:rsidRDefault="00247229" w:rsidP="003A3E0A">
      <w:pPr>
        <w:pStyle w:val="Prrafodelista"/>
        <w:numPr>
          <w:ilvl w:val="0"/>
          <w:numId w:val="13"/>
        </w:numPr>
        <w:rPr>
          <w:lang w:val="en-GB"/>
        </w:rPr>
      </w:pPr>
      <w:r>
        <w:t xml:space="preserve">Información tiroidea | Asociación Americana de Tiroides [Internet]. </w:t>
      </w:r>
      <w:r w:rsidRPr="00247229">
        <w:rPr>
          <w:lang w:val="en-GB"/>
        </w:rPr>
        <w:t>[</w:t>
      </w:r>
      <w:proofErr w:type="gramStart"/>
      <w:r w:rsidRPr="00247229">
        <w:rPr>
          <w:lang w:val="en-GB"/>
        </w:rPr>
        <w:t>cited</w:t>
      </w:r>
      <w:proofErr w:type="gramEnd"/>
      <w:r w:rsidRPr="00247229">
        <w:rPr>
          <w:lang w:val="en-GB"/>
        </w:rPr>
        <w:t xml:space="preserve"> 2017 Dec 11]. Available from: https://www.thyroid.org/thyroid-information/</w:t>
      </w:r>
    </w:p>
    <w:p w:rsidR="009C7B52" w:rsidRPr="009C7B52" w:rsidRDefault="009C7B52" w:rsidP="003A3E0A">
      <w:pPr>
        <w:pStyle w:val="Prrafodelista"/>
        <w:numPr>
          <w:ilvl w:val="0"/>
          <w:numId w:val="13"/>
        </w:numPr>
        <w:rPr>
          <w:lang w:val="en-GB"/>
        </w:rPr>
      </w:pPr>
      <w:proofErr w:type="spellStart"/>
      <w:r>
        <w:t>Thyroid</w:t>
      </w:r>
      <w:proofErr w:type="spellEnd"/>
      <w:r>
        <w:t xml:space="preserve"> </w:t>
      </w:r>
      <w:proofErr w:type="spellStart"/>
      <w:r>
        <w:t>Association</w:t>
      </w:r>
      <w:proofErr w:type="spellEnd"/>
      <w:r>
        <w:t xml:space="preserve"> A. www.thyroid.org ¿QUÉ ES LA GLÁNDULA TIROIDES? ¿CUÁLES SON LAS CAUSAS DEL BOCIO? </w:t>
      </w:r>
      <w:r w:rsidRPr="009C7B52">
        <w:rPr>
          <w:lang w:val="en-GB"/>
        </w:rPr>
        <w:t>[cited 2017 Dec 11]; Available from: https://www.thyroid.org/wp-content/uploads/patients/brochures/espanol/ata_bocio_bw.pdf?pdf=Bocio</w:t>
      </w:r>
    </w:p>
    <w:p w:rsidR="009C7B52" w:rsidRDefault="009C7B52" w:rsidP="003A3E0A">
      <w:pPr>
        <w:pStyle w:val="Prrafodelista"/>
        <w:numPr>
          <w:ilvl w:val="0"/>
          <w:numId w:val="13"/>
        </w:numPr>
        <w:rPr>
          <w:lang w:val="en-GB"/>
        </w:rPr>
      </w:pPr>
      <w:r>
        <w:t xml:space="preserve">Valdés S, Maldonado-Araque C, Lago-Sampedro A, Lillo JA, </w:t>
      </w:r>
      <w:proofErr w:type="spellStart"/>
      <w:r>
        <w:t>Garcia</w:t>
      </w:r>
      <w:proofErr w:type="spellEnd"/>
      <w:r>
        <w:t xml:space="preserve">-Fuentes E, </w:t>
      </w:r>
      <w:proofErr w:type="spellStart"/>
      <w:r>
        <w:t>Perez</w:t>
      </w:r>
      <w:proofErr w:type="spellEnd"/>
      <w:r>
        <w:t xml:space="preserve">-Valero V, et al. </w:t>
      </w:r>
      <w:r w:rsidRPr="009C7B52">
        <w:rPr>
          <w:lang w:val="en-GB"/>
        </w:rPr>
        <w:t xml:space="preserve">Population-Based National Prevalence of Thyroid Dysfunction in Spain and Associated Factors: Di@bet.es Study. Thyroid [Internet]. 2017 Feb [cited 2017 Dec </w:t>
      </w:r>
      <w:r w:rsidRPr="009C7B52">
        <w:rPr>
          <w:lang w:val="en-GB"/>
        </w:rPr>
        <w:lastRenderedPageBreak/>
        <w:t>11]</w:t>
      </w:r>
      <w:proofErr w:type="gramStart"/>
      <w:r w:rsidRPr="009C7B52">
        <w:rPr>
          <w:lang w:val="en-GB"/>
        </w:rPr>
        <w:t>;27</w:t>
      </w:r>
      <w:proofErr w:type="gramEnd"/>
      <w:r w:rsidRPr="009C7B52">
        <w:rPr>
          <w:lang w:val="en-GB"/>
        </w:rPr>
        <w:t xml:space="preserve">(2):156–66. Available from: </w:t>
      </w:r>
      <w:hyperlink r:id="rId28" w:history="1">
        <w:r w:rsidR="00A7021E" w:rsidRPr="00D90A77">
          <w:rPr>
            <w:rStyle w:val="Hipervnculo"/>
            <w:lang w:val="en-GB"/>
          </w:rPr>
          <w:t>http://online.liebertpub.com/doi/10.1089/thy.2016.0353</w:t>
        </w:r>
      </w:hyperlink>
    </w:p>
    <w:p w:rsidR="00CF6E0C" w:rsidRDefault="00CF6E0C" w:rsidP="003A3E0A">
      <w:pPr>
        <w:pStyle w:val="Prrafodelista"/>
        <w:numPr>
          <w:ilvl w:val="0"/>
          <w:numId w:val="13"/>
        </w:numPr>
        <w:rPr>
          <w:lang w:val="en-GB"/>
        </w:rPr>
      </w:pPr>
      <w:r w:rsidRPr="00CF6E0C">
        <w:rPr>
          <w:lang w:val="en-GB"/>
        </w:rPr>
        <w:t xml:space="preserve">Guan H, </w:t>
      </w:r>
      <w:proofErr w:type="spellStart"/>
      <w:r w:rsidRPr="00CF6E0C">
        <w:rPr>
          <w:lang w:val="en-GB"/>
        </w:rPr>
        <w:t>Ji</w:t>
      </w:r>
      <w:proofErr w:type="spellEnd"/>
      <w:r w:rsidRPr="00CF6E0C">
        <w:rPr>
          <w:lang w:val="en-GB"/>
        </w:rPr>
        <w:t xml:space="preserve"> M, </w:t>
      </w:r>
      <w:proofErr w:type="spellStart"/>
      <w:r w:rsidRPr="00CF6E0C">
        <w:rPr>
          <w:lang w:val="en-GB"/>
        </w:rPr>
        <w:t>Bao</w:t>
      </w:r>
      <w:proofErr w:type="spellEnd"/>
      <w:r w:rsidRPr="00CF6E0C">
        <w:rPr>
          <w:lang w:val="en-GB"/>
        </w:rPr>
        <w:t xml:space="preserve"> R, Yu H, Wang Y, </w:t>
      </w:r>
      <w:proofErr w:type="spellStart"/>
      <w:r w:rsidRPr="00CF6E0C">
        <w:rPr>
          <w:lang w:val="en-GB"/>
        </w:rPr>
        <w:t>Hou</w:t>
      </w:r>
      <w:proofErr w:type="spellEnd"/>
      <w:r w:rsidRPr="00CF6E0C">
        <w:rPr>
          <w:lang w:val="en-GB"/>
        </w:rPr>
        <w:t xml:space="preserve"> P, et al. Association of High Iodine Intake with the T1799A </w:t>
      </w:r>
      <w:r w:rsidRPr="00CF6E0C">
        <w:rPr>
          <w:i/>
          <w:iCs/>
          <w:lang w:val="en-GB"/>
        </w:rPr>
        <w:t>BRAF</w:t>
      </w:r>
      <w:r w:rsidRPr="00CF6E0C">
        <w:rPr>
          <w:lang w:val="en-GB"/>
        </w:rPr>
        <w:t xml:space="preserve"> Mutation in Papillary Thyroid Cancer. J </w:t>
      </w:r>
      <w:proofErr w:type="spellStart"/>
      <w:r w:rsidRPr="00CF6E0C">
        <w:rPr>
          <w:lang w:val="en-GB"/>
        </w:rPr>
        <w:t>Clin</w:t>
      </w:r>
      <w:proofErr w:type="spellEnd"/>
      <w:r w:rsidRPr="00CF6E0C">
        <w:rPr>
          <w:lang w:val="en-GB"/>
        </w:rPr>
        <w:t xml:space="preserve"> </w:t>
      </w:r>
      <w:proofErr w:type="spellStart"/>
      <w:r w:rsidRPr="00CF6E0C">
        <w:rPr>
          <w:lang w:val="en-GB"/>
        </w:rPr>
        <w:t>Endocrinol</w:t>
      </w:r>
      <w:proofErr w:type="spellEnd"/>
      <w:r w:rsidRPr="00CF6E0C">
        <w:rPr>
          <w:lang w:val="en-GB"/>
        </w:rPr>
        <w:t xml:space="preserve"> </w:t>
      </w:r>
      <w:proofErr w:type="spellStart"/>
      <w:r w:rsidRPr="00CF6E0C">
        <w:rPr>
          <w:lang w:val="en-GB"/>
        </w:rPr>
        <w:t>Metab</w:t>
      </w:r>
      <w:proofErr w:type="spellEnd"/>
      <w:r w:rsidRPr="00CF6E0C">
        <w:rPr>
          <w:lang w:val="en-GB"/>
        </w:rPr>
        <w:t xml:space="preserve"> [Internet]. 2009 May [cited 2017 Dec 11]</w:t>
      </w:r>
      <w:proofErr w:type="gramStart"/>
      <w:r w:rsidRPr="00CF6E0C">
        <w:rPr>
          <w:lang w:val="en-GB"/>
        </w:rPr>
        <w:t>;94</w:t>
      </w:r>
      <w:proofErr w:type="gramEnd"/>
      <w:r w:rsidRPr="00CF6E0C">
        <w:rPr>
          <w:lang w:val="en-GB"/>
        </w:rPr>
        <w:t xml:space="preserve">(5):1612–7. Available from: </w:t>
      </w:r>
      <w:hyperlink r:id="rId29" w:history="1">
        <w:r w:rsidR="00A7471F" w:rsidRPr="00D90A77">
          <w:rPr>
            <w:rStyle w:val="Hipervnculo"/>
            <w:lang w:val="en-GB"/>
          </w:rPr>
          <w:t>https://academic.oup.com/jcem/article-lookup/doi/10.1210/jc.2008-2390</w:t>
        </w:r>
      </w:hyperlink>
    </w:p>
    <w:p w:rsidR="00A7471F" w:rsidRDefault="00A7471F" w:rsidP="003A3E0A">
      <w:pPr>
        <w:pStyle w:val="Prrafodelista"/>
        <w:numPr>
          <w:ilvl w:val="0"/>
          <w:numId w:val="13"/>
        </w:numPr>
        <w:rPr>
          <w:lang w:val="en-GB"/>
        </w:rPr>
      </w:pPr>
      <w:r>
        <w:t xml:space="preserve">PEN: evidencia basada en la práctica en nutrición [Internet]. </w:t>
      </w:r>
      <w:r w:rsidRPr="00A7471F">
        <w:rPr>
          <w:lang w:val="en-GB"/>
        </w:rPr>
        <w:t>[</w:t>
      </w:r>
      <w:proofErr w:type="gramStart"/>
      <w:r w:rsidRPr="00A7471F">
        <w:rPr>
          <w:lang w:val="en-GB"/>
        </w:rPr>
        <w:t>cited</w:t>
      </w:r>
      <w:proofErr w:type="gramEnd"/>
      <w:r w:rsidRPr="00A7471F">
        <w:rPr>
          <w:lang w:val="en-GB"/>
        </w:rPr>
        <w:t xml:space="preserve"> 2017 Dec 11]. Available from: </w:t>
      </w:r>
      <w:hyperlink r:id="rId30" w:history="1">
        <w:r w:rsidR="00F60ED9" w:rsidRPr="00D90A77">
          <w:rPr>
            <w:rStyle w:val="Hipervnculo"/>
            <w:lang w:val="en-GB"/>
          </w:rPr>
          <w:t>https://www.pennutrition.com/KnowledgePathway.aspx?kpid=6927&amp;pqcatid=146&amp;pqid=7110</w:t>
        </w:r>
      </w:hyperlink>
    </w:p>
    <w:p w:rsidR="00F60ED9" w:rsidRDefault="00F60ED9" w:rsidP="003A3E0A">
      <w:pPr>
        <w:pStyle w:val="Prrafodelista"/>
        <w:numPr>
          <w:ilvl w:val="0"/>
          <w:numId w:val="13"/>
        </w:numPr>
        <w:rPr>
          <w:lang w:val="en-GB"/>
        </w:rPr>
      </w:pPr>
      <w:r>
        <w:t xml:space="preserve">Sustancias </w:t>
      </w:r>
      <w:proofErr w:type="spellStart"/>
      <w:r>
        <w:t>bociógenas</w:t>
      </w:r>
      <w:proofErr w:type="spellEnd"/>
      <w:r>
        <w:t xml:space="preserve"> en vegetales | EROSKI CONSUMER [Internet]. </w:t>
      </w:r>
      <w:r w:rsidRPr="00F60ED9">
        <w:rPr>
          <w:lang w:val="en-GB"/>
        </w:rPr>
        <w:t>[</w:t>
      </w:r>
      <w:proofErr w:type="gramStart"/>
      <w:r w:rsidRPr="00F60ED9">
        <w:rPr>
          <w:lang w:val="en-GB"/>
        </w:rPr>
        <w:t>cited</w:t>
      </w:r>
      <w:proofErr w:type="gramEnd"/>
      <w:r w:rsidRPr="00F60ED9">
        <w:rPr>
          <w:lang w:val="en-GB"/>
        </w:rPr>
        <w:t xml:space="preserve"> 2017 Dec 11]. Available from: http://www.consumer.es/web/es/alimentacion/aprender_a_comer_bien/enfermedad/2010/01/29/190795.php</w:t>
      </w:r>
    </w:p>
    <w:p w:rsidR="00A7021E" w:rsidRDefault="00A7021E" w:rsidP="003A3E0A">
      <w:pPr>
        <w:pStyle w:val="Prrafodelista"/>
        <w:numPr>
          <w:ilvl w:val="0"/>
          <w:numId w:val="13"/>
        </w:numPr>
        <w:rPr>
          <w:lang w:val="en-GB"/>
        </w:rPr>
      </w:pPr>
      <w:r>
        <w:t xml:space="preserve">REVISIÓN CIENTÍFICA SOBRE LA ALIMENTACIÓN EN LA MUJER EMBARAZADA 2014 Centro de Análisis de le Evidencia Científica (CAEC-FEDN) Fundación Española de Dietistas-Nutricionistas. </w:t>
      </w:r>
      <w:r w:rsidRPr="00A7021E">
        <w:rPr>
          <w:lang w:val="en-GB"/>
        </w:rPr>
        <w:t xml:space="preserve">2014 [cited 2017 Dec 11]; Available from: </w:t>
      </w:r>
      <w:hyperlink r:id="rId31" w:history="1">
        <w:r w:rsidR="00F60ED9" w:rsidRPr="00D90A77">
          <w:rPr>
            <w:rStyle w:val="Hipervnculo"/>
            <w:lang w:val="en-GB"/>
          </w:rPr>
          <w:t>http://www.saludoralyembarazo.es/assets/pdf/AlimentacionyembarazoFEDN.pdf</w:t>
        </w:r>
      </w:hyperlink>
    </w:p>
    <w:p w:rsidR="00F60ED9" w:rsidRPr="00F60ED9" w:rsidRDefault="00F60ED9" w:rsidP="00F60ED9">
      <w:pPr>
        <w:ind w:left="360"/>
        <w:rPr>
          <w:lang w:val="en-GB"/>
        </w:rPr>
      </w:pPr>
    </w:p>
    <w:p w:rsidR="00CF3BBA" w:rsidRPr="009C7B52" w:rsidRDefault="00CF3BBA" w:rsidP="00CF3BBA">
      <w:pPr>
        <w:pStyle w:val="Ttulo1"/>
        <w:rPr>
          <w:lang w:val="en-GB"/>
        </w:rPr>
      </w:pPr>
      <w:r w:rsidRPr="009C7B52">
        <w:rPr>
          <w:lang w:val="en-GB"/>
        </w:rPr>
        <w:t xml:space="preserve"> </w:t>
      </w:r>
    </w:p>
    <w:p w:rsidR="00CF3BBA" w:rsidRPr="009C7B52" w:rsidRDefault="00CF3BBA" w:rsidP="00CF3BBA">
      <w:pPr>
        <w:rPr>
          <w:lang w:val="en-GB"/>
        </w:rPr>
      </w:pPr>
    </w:p>
    <w:p w:rsidR="003019C5" w:rsidRPr="009C7B52" w:rsidRDefault="003019C5" w:rsidP="00CF3BBA">
      <w:pPr>
        <w:rPr>
          <w:lang w:val="en-GB"/>
        </w:rPr>
      </w:pPr>
    </w:p>
    <w:p w:rsidR="003019C5" w:rsidRPr="009C7B52" w:rsidRDefault="003019C5" w:rsidP="00CF3BBA">
      <w:pPr>
        <w:rPr>
          <w:lang w:val="en-GB"/>
        </w:rPr>
      </w:pPr>
    </w:p>
    <w:p w:rsidR="003019C5" w:rsidRPr="009C7B52" w:rsidRDefault="003019C5" w:rsidP="00CF3BBA">
      <w:pPr>
        <w:rPr>
          <w:lang w:val="en-GB"/>
        </w:rPr>
      </w:pPr>
    </w:p>
    <w:p w:rsidR="003019C5" w:rsidRPr="009C7B52" w:rsidRDefault="003019C5" w:rsidP="00CF3BBA">
      <w:pPr>
        <w:rPr>
          <w:lang w:val="en-GB"/>
        </w:rPr>
      </w:pPr>
    </w:p>
    <w:p w:rsidR="003019C5" w:rsidRPr="009C7B52" w:rsidRDefault="003019C5" w:rsidP="00CF3BBA">
      <w:pPr>
        <w:rPr>
          <w:lang w:val="en-GB"/>
        </w:rPr>
      </w:pPr>
    </w:p>
    <w:p w:rsidR="003019C5" w:rsidRPr="009C7B52" w:rsidRDefault="003019C5" w:rsidP="00CF3BBA">
      <w:pPr>
        <w:rPr>
          <w:lang w:val="en-GB"/>
        </w:rPr>
      </w:pPr>
    </w:p>
    <w:p w:rsidR="0008538B" w:rsidRPr="00F60ED9" w:rsidRDefault="0008538B" w:rsidP="00CF3BBA">
      <w:pPr>
        <w:rPr>
          <w:lang w:val="en-GB"/>
        </w:rPr>
      </w:pPr>
    </w:p>
    <w:p w:rsidR="0008538B" w:rsidRPr="00F60ED9" w:rsidRDefault="0008538B" w:rsidP="0008538B">
      <w:pPr>
        <w:rPr>
          <w:lang w:val="en-GB"/>
        </w:rPr>
      </w:pPr>
    </w:p>
    <w:p w:rsidR="0008538B" w:rsidRPr="00F60ED9" w:rsidRDefault="0008538B" w:rsidP="0008538B">
      <w:pPr>
        <w:rPr>
          <w:lang w:val="en-GB"/>
        </w:rPr>
      </w:pPr>
    </w:p>
    <w:p w:rsidR="00322E69" w:rsidRPr="00F60ED9" w:rsidRDefault="00322E69" w:rsidP="00322E69">
      <w:pPr>
        <w:rPr>
          <w:lang w:val="en-GB"/>
        </w:rPr>
      </w:pPr>
    </w:p>
    <w:p w:rsidR="00CF3BBA" w:rsidRPr="00F60ED9" w:rsidRDefault="00CF3BBA" w:rsidP="00CF3BBA">
      <w:pPr>
        <w:rPr>
          <w:lang w:val="en-GB"/>
        </w:rPr>
      </w:pPr>
    </w:p>
    <w:p w:rsidR="00CF3BBA" w:rsidRPr="00F60ED9" w:rsidRDefault="00CF3BBA" w:rsidP="00CF3BBA">
      <w:pPr>
        <w:rPr>
          <w:lang w:val="en-GB"/>
        </w:rPr>
      </w:pPr>
    </w:p>
    <w:p w:rsidR="005C7D9C" w:rsidRPr="00F60ED9" w:rsidRDefault="005C7D9C" w:rsidP="005C7D9C">
      <w:pPr>
        <w:rPr>
          <w:lang w:val="en-GB"/>
        </w:rPr>
      </w:pPr>
    </w:p>
    <w:sectPr w:rsidR="005C7D9C" w:rsidRPr="00F60E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04DE"/>
    <w:multiLevelType w:val="hybridMultilevel"/>
    <w:tmpl w:val="828E0B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5025D9"/>
    <w:multiLevelType w:val="hybridMultilevel"/>
    <w:tmpl w:val="5434AD2E"/>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29730A3"/>
    <w:multiLevelType w:val="hybridMultilevel"/>
    <w:tmpl w:val="2B54A94E"/>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FE3741"/>
    <w:multiLevelType w:val="hybridMultilevel"/>
    <w:tmpl w:val="56C413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D7A59D0"/>
    <w:multiLevelType w:val="multilevel"/>
    <w:tmpl w:val="9B8E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D61502"/>
    <w:multiLevelType w:val="hybridMultilevel"/>
    <w:tmpl w:val="3F10C792"/>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9D06C10"/>
    <w:multiLevelType w:val="hybridMultilevel"/>
    <w:tmpl w:val="4364D686"/>
    <w:lvl w:ilvl="0" w:tplc="52E45D7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A6A011E"/>
    <w:multiLevelType w:val="hybridMultilevel"/>
    <w:tmpl w:val="2E085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E973549"/>
    <w:multiLevelType w:val="hybridMultilevel"/>
    <w:tmpl w:val="D7AECD20"/>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06877D6"/>
    <w:multiLevelType w:val="multilevel"/>
    <w:tmpl w:val="63D8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8D552F"/>
    <w:multiLevelType w:val="hybridMultilevel"/>
    <w:tmpl w:val="3B9E676A"/>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2584D17"/>
    <w:multiLevelType w:val="hybridMultilevel"/>
    <w:tmpl w:val="321A7E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A152469"/>
    <w:multiLevelType w:val="hybridMultilevel"/>
    <w:tmpl w:val="2864EA20"/>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9873B9D"/>
    <w:multiLevelType w:val="hybridMultilevel"/>
    <w:tmpl w:val="6DC6ACB2"/>
    <w:lvl w:ilvl="0" w:tplc="4500744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7A2434D"/>
    <w:multiLevelType w:val="hybridMultilevel"/>
    <w:tmpl w:val="6A605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EC7275"/>
    <w:multiLevelType w:val="hybridMultilevel"/>
    <w:tmpl w:val="6C6286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4"/>
  </w:num>
  <w:num w:numId="4">
    <w:abstractNumId w:val="15"/>
  </w:num>
  <w:num w:numId="5">
    <w:abstractNumId w:val="7"/>
  </w:num>
  <w:num w:numId="6">
    <w:abstractNumId w:val="2"/>
  </w:num>
  <w:num w:numId="7">
    <w:abstractNumId w:val="8"/>
  </w:num>
  <w:num w:numId="8">
    <w:abstractNumId w:val="13"/>
  </w:num>
  <w:num w:numId="9">
    <w:abstractNumId w:val="12"/>
  </w:num>
  <w:num w:numId="10">
    <w:abstractNumId w:val="5"/>
  </w:num>
  <w:num w:numId="11">
    <w:abstractNumId w:val="1"/>
  </w:num>
  <w:num w:numId="12">
    <w:abstractNumId w:val="3"/>
  </w:num>
  <w:num w:numId="13">
    <w:abstractNumId w:val="11"/>
  </w:num>
  <w:num w:numId="14">
    <w:abstractNumId w:val="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4DC"/>
    <w:rsid w:val="00040B0F"/>
    <w:rsid w:val="00066E96"/>
    <w:rsid w:val="00082E8B"/>
    <w:rsid w:val="0008538B"/>
    <w:rsid w:val="000C1C51"/>
    <w:rsid w:val="000F2824"/>
    <w:rsid w:val="0011080F"/>
    <w:rsid w:val="001335AC"/>
    <w:rsid w:val="001953E0"/>
    <w:rsid w:val="001D4875"/>
    <w:rsid w:val="001E7B38"/>
    <w:rsid w:val="001F143A"/>
    <w:rsid w:val="0024032F"/>
    <w:rsid w:val="00247229"/>
    <w:rsid w:val="00271F3A"/>
    <w:rsid w:val="002A1FC0"/>
    <w:rsid w:val="002A4B42"/>
    <w:rsid w:val="002E1042"/>
    <w:rsid w:val="003019C5"/>
    <w:rsid w:val="00322E69"/>
    <w:rsid w:val="00384F24"/>
    <w:rsid w:val="003A3E0A"/>
    <w:rsid w:val="003D6D54"/>
    <w:rsid w:val="0040298E"/>
    <w:rsid w:val="00425664"/>
    <w:rsid w:val="004E5767"/>
    <w:rsid w:val="00505BF7"/>
    <w:rsid w:val="005C7D9C"/>
    <w:rsid w:val="00600902"/>
    <w:rsid w:val="00632E00"/>
    <w:rsid w:val="0064477D"/>
    <w:rsid w:val="006667E6"/>
    <w:rsid w:val="006C488A"/>
    <w:rsid w:val="006D29FA"/>
    <w:rsid w:val="006E3DA7"/>
    <w:rsid w:val="006E710C"/>
    <w:rsid w:val="006F34DC"/>
    <w:rsid w:val="007C3AEE"/>
    <w:rsid w:val="007E6169"/>
    <w:rsid w:val="008138DB"/>
    <w:rsid w:val="00816B48"/>
    <w:rsid w:val="00834E0F"/>
    <w:rsid w:val="008D05FC"/>
    <w:rsid w:val="009C7B52"/>
    <w:rsid w:val="00A1082D"/>
    <w:rsid w:val="00A612FD"/>
    <w:rsid w:val="00A7021E"/>
    <w:rsid w:val="00A73A60"/>
    <w:rsid w:val="00A73BC0"/>
    <w:rsid w:val="00A7471F"/>
    <w:rsid w:val="00A74BA8"/>
    <w:rsid w:val="00A81E23"/>
    <w:rsid w:val="00B54BA4"/>
    <w:rsid w:val="00BD71AA"/>
    <w:rsid w:val="00C4197D"/>
    <w:rsid w:val="00C434DB"/>
    <w:rsid w:val="00C85A74"/>
    <w:rsid w:val="00CB0E8E"/>
    <w:rsid w:val="00CF3BBA"/>
    <w:rsid w:val="00CF6E0C"/>
    <w:rsid w:val="00D4451F"/>
    <w:rsid w:val="00D54CB7"/>
    <w:rsid w:val="00D6608C"/>
    <w:rsid w:val="00D67B4B"/>
    <w:rsid w:val="00D83F62"/>
    <w:rsid w:val="00D92B9B"/>
    <w:rsid w:val="00DA3EE3"/>
    <w:rsid w:val="00DE38CE"/>
    <w:rsid w:val="00DF3199"/>
    <w:rsid w:val="00E2419A"/>
    <w:rsid w:val="00E6722F"/>
    <w:rsid w:val="00EC7530"/>
    <w:rsid w:val="00F01EA7"/>
    <w:rsid w:val="00F0273B"/>
    <w:rsid w:val="00F15FBD"/>
    <w:rsid w:val="00F60ED9"/>
    <w:rsid w:val="00F63925"/>
    <w:rsid w:val="00F658DF"/>
    <w:rsid w:val="00F948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11405-C73A-4064-925A-335FE14F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4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241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54B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E7B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6F34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F34D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6F34DC"/>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6F34DC"/>
    <w:pPr>
      <w:ind w:left="720"/>
      <w:contextualSpacing/>
    </w:pPr>
  </w:style>
  <w:style w:type="character" w:customStyle="1" w:styleId="Ttulo2Car">
    <w:name w:val="Título 2 Car"/>
    <w:basedOn w:val="Fuentedeprrafopredeter"/>
    <w:link w:val="Ttulo2"/>
    <w:uiPriority w:val="9"/>
    <w:rsid w:val="00E2419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54BA4"/>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CF3BBA"/>
    <w:rPr>
      <w:color w:val="0563C1" w:themeColor="hyperlink"/>
      <w:u w:val="single"/>
    </w:rPr>
  </w:style>
  <w:style w:type="paragraph" w:styleId="HTMLconformatoprevio">
    <w:name w:val="HTML Preformatted"/>
    <w:basedOn w:val="Normal"/>
    <w:link w:val="HTMLconformatoprevioCar"/>
    <w:uiPriority w:val="99"/>
    <w:semiHidden/>
    <w:unhideWhenUsed/>
    <w:rsid w:val="0032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322E69"/>
    <w:rPr>
      <w:rFonts w:ascii="Courier New" w:eastAsia="Times New Roman" w:hAnsi="Courier New" w:cs="Courier New"/>
      <w:sz w:val="20"/>
      <w:szCs w:val="20"/>
      <w:lang w:eastAsia="es-ES"/>
    </w:rPr>
  </w:style>
  <w:style w:type="paragraph" w:styleId="Textodeglobo">
    <w:name w:val="Balloon Text"/>
    <w:basedOn w:val="Normal"/>
    <w:link w:val="TextodegloboCar"/>
    <w:uiPriority w:val="99"/>
    <w:semiHidden/>
    <w:unhideWhenUsed/>
    <w:rsid w:val="00816B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6B48"/>
    <w:rPr>
      <w:rFonts w:ascii="Tahoma" w:hAnsi="Tahoma" w:cs="Tahoma"/>
      <w:sz w:val="16"/>
      <w:szCs w:val="16"/>
    </w:rPr>
  </w:style>
  <w:style w:type="character" w:styleId="Textoennegrita">
    <w:name w:val="Strong"/>
    <w:uiPriority w:val="22"/>
    <w:qFormat/>
    <w:rsid w:val="006667E6"/>
    <w:rPr>
      <w:b/>
      <w:bCs/>
    </w:rPr>
  </w:style>
  <w:style w:type="paragraph" w:styleId="Textoindependiente">
    <w:name w:val="Body Text"/>
    <w:basedOn w:val="Normal"/>
    <w:link w:val="TextoindependienteCar"/>
    <w:rsid w:val="006667E6"/>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TextoindependienteCar">
    <w:name w:val="Texto independiente Car"/>
    <w:basedOn w:val="Fuentedeprrafopredeter"/>
    <w:link w:val="Textoindependiente"/>
    <w:rsid w:val="006667E6"/>
    <w:rPr>
      <w:rFonts w:ascii="Times New Roman" w:eastAsia="Arial Unicode MS" w:hAnsi="Times New Roman" w:cs="Times New Roman"/>
      <w:kern w:val="1"/>
      <w:sz w:val="24"/>
      <w:szCs w:val="24"/>
    </w:rPr>
  </w:style>
  <w:style w:type="paragraph" w:customStyle="1" w:styleId="Textbody">
    <w:name w:val="Text body"/>
    <w:basedOn w:val="Normal"/>
    <w:rsid w:val="001D4875"/>
    <w:pPr>
      <w:widowControl w:val="0"/>
      <w:suppressAutoHyphens/>
      <w:autoSpaceDN w:val="0"/>
      <w:spacing w:after="120" w:line="240" w:lineRule="auto"/>
      <w:textAlignment w:val="baseline"/>
    </w:pPr>
    <w:rPr>
      <w:rFonts w:ascii="Times New Roman" w:eastAsia="SimSun" w:hAnsi="Times New Roman" w:cs="Mangal"/>
      <w:kern w:val="3"/>
      <w:sz w:val="24"/>
      <w:szCs w:val="24"/>
      <w:lang w:val="ca-ES" w:eastAsia="zh-CN" w:bidi="hi-IN"/>
    </w:rPr>
  </w:style>
  <w:style w:type="character" w:customStyle="1" w:styleId="tip">
    <w:name w:val="tip"/>
    <w:basedOn w:val="Fuentedeprrafopredeter"/>
    <w:rsid w:val="007E6169"/>
  </w:style>
  <w:style w:type="character" w:styleId="nfasis">
    <w:name w:val="Emphasis"/>
    <w:basedOn w:val="Fuentedeprrafopredeter"/>
    <w:uiPriority w:val="20"/>
    <w:qFormat/>
    <w:rsid w:val="007E6169"/>
    <w:rPr>
      <w:i/>
      <w:iCs/>
    </w:rPr>
  </w:style>
  <w:style w:type="character" w:customStyle="1" w:styleId="Ttulo4Car">
    <w:name w:val="Título 4 Car"/>
    <w:basedOn w:val="Fuentedeprrafopredeter"/>
    <w:link w:val="Ttulo4"/>
    <w:uiPriority w:val="9"/>
    <w:rsid w:val="001E7B3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25180">
      <w:bodyDiv w:val="1"/>
      <w:marLeft w:val="0"/>
      <w:marRight w:val="0"/>
      <w:marTop w:val="0"/>
      <w:marBottom w:val="0"/>
      <w:divBdr>
        <w:top w:val="none" w:sz="0" w:space="0" w:color="auto"/>
        <w:left w:val="none" w:sz="0" w:space="0" w:color="auto"/>
        <w:bottom w:val="none" w:sz="0" w:space="0" w:color="auto"/>
        <w:right w:val="none" w:sz="0" w:space="0" w:color="auto"/>
      </w:divBdr>
    </w:div>
    <w:div w:id="638607978">
      <w:bodyDiv w:val="1"/>
      <w:marLeft w:val="0"/>
      <w:marRight w:val="0"/>
      <w:marTop w:val="0"/>
      <w:marBottom w:val="0"/>
      <w:divBdr>
        <w:top w:val="none" w:sz="0" w:space="0" w:color="auto"/>
        <w:left w:val="none" w:sz="0" w:space="0" w:color="auto"/>
        <w:bottom w:val="none" w:sz="0" w:space="0" w:color="auto"/>
        <w:right w:val="none" w:sz="0" w:space="0" w:color="auto"/>
      </w:divBdr>
    </w:div>
    <w:div w:id="1024668069">
      <w:bodyDiv w:val="1"/>
      <w:marLeft w:val="0"/>
      <w:marRight w:val="0"/>
      <w:marTop w:val="0"/>
      <w:marBottom w:val="0"/>
      <w:divBdr>
        <w:top w:val="none" w:sz="0" w:space="0" w:color="auto"/>
        <w:left w:val="none" w:sz="0" w:space="0" w:color="auto"/>
        <w:bottom w:val="none" w:sz="0" w:space="0" w:color="auto"/>
        <w:right w:val="none" w:sz="0" w:space="0" w:color="auto"/>
      </w:divBdr>
    </w:div>
    <w:div w:id="1133450158">
      <w:bodyDiv w:val="1"/>
      <w:marLeft w:val="0"/>
      <w:marRight w:val="0"/>
      <w:marTop w:val="0"/>
      <w:marBottom w:val="0"/>
      <w:divBdr>
        <w:top w:val="none" w:sz="0" w:space="0" w:color="auto"/>
        <w:left w:val="none" w:sz="0" w:space="0" w:color="auto"/>
        <w:bottom w:val="none" w:sz="0" w:space="0" w:color="auto"/>
        <w:right w:val="none" w:sz="0" w:space="0" w:color="auto"/>
      </w:divBdr>
    </w:div>
    <w:div w:id="1531072141">
      <w:bodyDiv w:val="1"/>
      <w:marLeft w:val="0"/>
      <w:marRight w:val="0"/>
      <w:marTop w:val="0"/>
      <w:marBottom w:val="0"/>
      <w:divBdr>
        <w:top w:val="none" w:sz="0" w:space="0" w:color="auto"/>
        <w:left w:val="none" w:sz="0" w:space="0" w:color="auto"/>
        <w:bottom w:val="none" w:sz="0" w:space="0" w:color="auto"/>
        <w:right w:val="none" w:sz="0" w:space="0" w:color="auto"/>
      </w:divBdr>
    </w:div>
    <w:div w:id="194368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hyperlink" Target="http://doi.wiley.com/10.2903/j.efsa.2014.3660" TargetMode="External"/><Relationship Id="rId3" Type="http://schemas.openxmlformats.org/officeDocument/2006/relationships/styles" Target="styles.xml"/><Relationship Id="rId21" Type="http://schemas.openxmlformats.org/officeDocument/2006/relationships/hyperlink" Target="https://www.thyroid.org/thyroid-cancer/"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adun.unav.edu/bitstream/10171/37078/1/Muniesa_Intervencion_dietetico_nutricional.pdf" TargetMode="External"/><Relationship Id="rId20" Type="http://schemas.openxmlformats.org/officeDocument/2006/relationships/hyperlink" Target="https://www.thyroid.org/thyroid-nodules/" TargetMode="External"/><Relationship Id="rId29" Type="http://schemas.openxmlformats.org/officeDocument/2006/relationships/hyperlink" Target="https://academic.oup.com/jcem/article-lookup/doi/10.1210/jc.2008-239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thyroid.org/thyroiditi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bi.nlm.nih.gov/pubmed/21561874" TargetMode="External"/><Relationship Id="rId23" Type="http://schemas.openxmlformats.org/officeDocument/2006/relationships/hyperlink" Target="https://www.thyroid.org/radioactive-iodine/" TargetMode="External"/><Relationship Id="rId28" Type="http://schemas.openxmlformats.org/officeDocument/2006/relationships/hyperlink" Target="http://online.liebertpub.com/doi/10.1089/thy.2016.0353" TargetMode="External"/><Relationship Id="rId10" Type="http://schemas.openxmlformats.org/officeDocument/2006/relationships/image" Target="media/image5.png"/><Relationship Id="rId19" Type="http://schemas.openxmlformats.org/officeDocument/2006/relationships/hyperlink" Target="https://www.thyroid.org/hashimotos-thyroiditis/" TargetMode="External"/><Relationship Id="rId31" Type="http://schemas.openxmlformats.org/officeDocument/2006/relationships/hyperlink" Target="http://www.saludoralyembarazo.es/assets/pdf/AlimentacionyembarazoFEDN.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pennutrition.com/KnowledgePathway.aspx?kpid=403&amp;trid=22667&amp;trcatid=38" TargetMode="External"/><Relationship Id="rId22" Type="http://schemas.openxmlformats.org/officeDocument/2006/relationships/hyperlink" Target="https://www.thyroid.org/graves-disease/" TargetMode="External"/><Relationship Id="rId27" Type="http://schemas.openxmlformats.org/officeDocument/2006/relationships/hyperlink" Target="http://www.nap.edu/catalog/10026" TargetMode="External"/><Relationship Id="rId30" Type="http://schemas.openxmlformats.org/officeDocument/2006/relationships/hyperlink" Target="https://www.pennutrition.com/KnowledgePathway.aspx?kpid=6927&amp;pqcatid=146&amp;pqid=7110" TargetMode="Externa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57A7544-A197-4634-B331-999A1A6B4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17</Pages>
  <Words>9669</Words>
  <Characters>53181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dc:creator>
  <cp:lastModifiedBy>Gigi</cp:lastModifiedBy>
  <cp:revision>24</cp:revision>
  <dcterms:created xsi:type="dcterms:W3CDTF">2017-11-14T15:12:00Z</dcterms:created>
  <dcterms:modified xsi:type="dcterms:W3CDTF">2017-12-11T17:29:00Z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fdff31a7-e2ce-39a6-b885-183a4f3d198a</vt:lpwstr>
  </property>
  <property fmtid="{D5CDD505-2E9C-101B-9397-08002B2CF9AE}" pid="24" name="Mendeley Citation Style_1">
    <vt:lpwstr>http://www.zotero.org/styles/vancouver</vt:lpwstr>
  </property>
</Properties>
</file>